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A1" w:rsidRDefault="00975AA1" w:rsidP="00C3795C">
      <w:pPr>
        <w:pStyle w:val="AHPRADocumenttitle"/>
      </w:pPr>
    </w:p>
    <w:p w:rsidR="00975AA1" w:rsidRDefault="00975AA1" w:rsidP="00C3795C">
      <w:pPr>
        <w:pStyle w:val="AHPRADocumenttitle"/>
      </w:pPr>
    </w:p>
    <w:p w:rsidR="00FC2881" w:rsidRPr="00C3795C" w:rsidRDefault="003560E8"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v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LKYzjO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"/>
        </w:pict>
      </w:r>
      <w:r w:rsidR="00975AA1">
        <w:t>Communiqué</w:t>
      </w:r>
    </w:p>
    <w:p w:rsidR="00C3795C" w:rsidRPr="00361DD5" w:rsidRDefault="003560E8" w:rsidP="009B58B7">
      <w:pPr>
        <w:pStyle w:val="AHPRAbody"/>
      </w:pPr>
      <w:r>
        <w:t>10</w:t>
      </w:r>
      <w:bookmarkStart w:id="0" w:name="_GoBack"/>
      <w:bookmarkEnd w:id="0"/>
      <w:r w:rsidR="00873C08">
        <w:t xml:space="preserve"> March 2016</w:t>
      </w:r>
    </w:p>
    <w:p w:rsidR="007C15E1" w:rsidRDefault="007C15E1" w:rsidP="009B58B7">
      <w:pPr>
        <w:pStyle w:val="AHPRAbody"/>
      </w:pPr>
      <w:r>
        <w:t>The Podiatry Board of Australia (Board) meets each month to consider and decide on matters related to its regulatory function under the National Law</w:t>
      </w:r>
      <w:r w:rsidR="000F027E">
        <w:rPr>
          <w:rStyle w:val="FootnoteReference"/>
        </w:rPr>
        <w:footnoteReference w:id="2"/>
      </w:r>
      <w:r>
        <w:rPr>
          <w:sz w:val="12"/>
          <w:szCs w:val="12"/>
        </w:rPr>
        <w:t xml:space="preserve"> </w:t>
      </w:r>
      <w:r>
        <w:t xml:space="preserve">and within the National Registration and Accreditation Scheme (the National Scheme). </w:t>
      </w:r>
    </w:p>
    <w:p w:rsidR="000F027E" w:rsidRDefault="000F027E" w:rsidP="000F027E">
      <w:pPr>
        <w:pStyle w:val="AHPRAbody"/>
      </w:pPr>
      <w:r>
        <w:rPr>
          <w:szCs w:val="20"/>
        </w:rPr>
        <w:t xml:space="preserve">This communiqué highlights key </w:t>
      </w:r>
      <w:r w:rsidR="00FE1540">
        <w:rPr>
          <w:szCs w:val="20"/>
        </w:rPr>
        <w:t>matters</w:t>
      </w:r>
      <w:r>
        <w:rPr>
          <w:szCs w:val="20"/>
        </w:rPr>
        <w:t xml:space="preserve"> from the Board’s meeting as well as other important information.</w:t>
      </w:r>
    </w:p>
    <w:p w:rsidR="007C15E1" w:rsidRPr="007C15E1" w:rsidRDefault="007C15E1" w:rsidP="00BD2721">
      <w:pPr>
        <w:pStyle w:val="AHPRAbody"/>
        <w:rPr>
          <w:b/>
        </w:rPr>
      </w:pPr>
      <w:r w:rsidRPr="007C15E1">
        <w:t>This communiqué aims to inform stakeholders of the work of the Board and matters regarding the National Scheme. Please forward it on to colleagues and employees who may be interested in its content.</w:t>
      </w:r>
    </w:p>
    <w:p w:rsidR="00C657B9" w:rsidRDefault="00873C08" w:rsidP="009B58B7">
      <w:pPr>
        <w:pStyle w:val="AHPRASubheading"/>
      </w:pPr>
      <w:r>
        <w:t>February</w:t>
      </w:r>
      <w:r w:rsidR="00B12BAC">
        <w:t xml:space="preserve"> </w:t>
      </w:r>
      <w:r w:rsidR="00C657B9">
        <w:t>201</w:t>
      </w:r>
      <w:r>
        <w:t>6</w:t>
      </w:r>
      <w:r w:rsidR="00C657B9">
        <w:t xml:space="preserve"> meeting</w:t>
      </w:r>
    </w:p>
    <w:p w:rsidR="00892556" w:rsidRDefault="00C657B9" w:rsidP="00892556">
      <w:pPr>
        <w:pStyle w:val="AHPRAbody"/>
      </w:pPr>
      <w:r w:rsidRPr="00C657B9">
        <w:t xml:space="preserve">The Board held </w:t>
      </w:r>
      <w:r w:rsidR="00B12BAC">
        <w:t xml:space="preserve">its </w:t>
      </w:r>
      <w:r w:rsidR="00873C08">
        <w:t>first</w:t>
      </w:r>
      <w:r w:rsidR="00B12BAC">
        <w:t xml:space="preserve"> meeting for 201</w:t>
      </w:r>
      <w:r w:rsidR="00873C08">
        <w:t xml:space="preserve">6 </w:t>
      </w:r>
      <w:r w:rsidR="00892556">
        <w:t xml:space="preserve">in Melbourne </w:t>
      </w:r>
      <w:r w:rsidR="00873C08">
        <w:t>on 24 February 2016</w:t>
      </w:r>
      <w:r>
        <w:t>.</w:t>
      </w:r>
      <w:r w:rsidR="009E0330">
        <w:t xml:space="preserve">  </w:t>
      </w:r>
    </w:p>
    <w:p w:rsidR="00C87E4C" w:rsidRPr="00535767" w:rsidRDefault="00CD7D53" w:rsidP="00C87E4C">
      <w:pPr>
        <w:pStyle w:val="AHPRASubheading"/>
        <w:rPr>
          <w:color w:val="auto"/>
        </w:rPr>
      </w:pPr>
      <w:r w:rsidRPr="00535767">
        <w:rPr>
          <w:color w:val="auto"/>
        </w:rPr>
        <w:t>Regulatory plan for 2016/17</w:t>
      </w:r>
    </w:p>
    <w:p w:rsidR="001F54D0" w:rsidRDefault="001D17B5" w:rsidP="00892556">
      <w:pPr>
        <w:pStyle w:val="AHPRAbody"/>
      </w:pPr>
      <w:r>
        <w:t xml:space="preserve">The Board </w:t>
      </w:r>
      <w:r w:rsidR="001F54D0">
        <w:t>finalised its regulatory work plan for 2016/17.</w:t>
      </w:r>
    </w:p>
    <w:p w:rsidR="00892556" w:rsidRDefault="001F54D0" w:rsidP="00892556">
      <w:pPr>
        <w:pStyle w:val="AHPRAbody"/>
      </w:pPr>
      <w:r>
        <w:t xml:space="preserve">The regulatory work plan will be incorporated into the health profession agreement (HPA) for 2016/17. </w:t>
      </w:r>
      <w:r w:rsidRPr="001F54D0">
        <w:t xml:space="preserve">The HPA sets out the partnership between the Board and AHPRA, and the services AHPRA will provide in supporting the Board to carry out its functions. </w:t>
      </w:r>
      <w:r>
        <w:t xml:space="preserve">The HPA for 2016/17 will be published on the Board’s website later this year.  </w:t>
      </w:r>
      <w:r w:rsidR="00892556">
        <w:t xml:space="preserve"> </w:t>
      </w:r>
    </w:p>
    <w:p w:rsidR="003C46C2" w:rsidRPr="00535767" w:rsidRDefault="00CD7D53" w:rsidP="00892556">
      <w:pPr>
        <w:pStyle w:val="AHPRAbody"/>
        <w:rPr>
          <w:b/>
        </w:rPr>
      </w:pPr>
      <w:r w:rsidRPr="00535767">
        <w:rPr>
          <w:b/>
        </w:rPr>
        <w:t>Review of accreditation standards for endorsement for scheduled medicines</w:t>
      </w:r>
    </w:p>
    <w:p w:rsidR="003C46C2" w:rsidRPr="002A24D1" w:rsidRDefault="001F68EC" w:rsidP="00BD2721">
      <w:pPr>
        <w:pStyle w:val="AHPRAbody"/>
      </w:pPr>
      <w:r w:rsidRPr="002A24D1">
        <w:t>In</w:t>
      </w:r>
      <w:r w:rsidR="003C46C2" w:rsidRPr="002A24D1">
        <w:t xml:space="preserve"> August 2012, the Board approved the following accreditation standards for endorsement for scheduled medicines:</w:t>
      </w:r>
    </w:p>
    <w:p w:rsidR="003C46C2" w:rsidRPr="00BD2721" w:rsidRDefault="003C46C2" w:rsidP="00BD2721">
      <w:pPr>
        <w:pStyle w:val="AHPRABulletlevel1"/>
      </w:pPr>
      <w:r w:rsidRPr="00BD2721">
        <w:t>ESM accreditation standards Part A: Podiatric Therapeutics</w:t>
      </w:r>
    </w:p>
    <w:p w:rsidR="003C46C2" w:rsidRPr="00BD2721" w:rsidRDefault="003C46C2" w:rsidP="00BD2721">
      <w:pPr>
        <w:pStyle w:val="AHPRABulletlevel1last"/>
      </w:pPr>
      <w:r w:rsidRPr="00BD2721">
        <w:t>ESM accreditation standards Part B: Supervised Practice</w:t>
      </w:r>
    </w:p>
    <w:p w:rsidR="001F68EC" w:rsidRPr="002A24D1" w:rsidRDefault="001F68EC" w:rsidP="00BD2721">
      <w:pPr>
        <w:pStyle w:val="AHPRAbody"/>
        <w:rPr>
          <w:rFonts w:eastAsia="Times New Roman" w:cs="Arial"/>
          <w:szCs w:val="20"/>
        </w:rPr>
      </w:pPr>
      <w:r w:rsidRPr="002A24D1">
        <w:t xml:space="preserve">At the February </w:t>
      </w:r>
      <w:r w:rsidR="002A24D1" w:rsidRPr="002A24D1">
        <w:t xml:space="preserve">2016 </w:t>
      </w:r>
      <w:r w:rsidRPr="002A24D1">
        <w:t>meeting</w:t>
      </w:r>
      <w:r w:rsidR="002A24D1" w:rsidRPr="002A24D1">
        <w:t xml:space="preserve">, the Board </w:t>
      </w:r>
      <w:r w:rsidRPr="002A24D1">
        <w:t xml:space="preserve">repealed </w:t>
      </w:r>
      <w:r w:rsidR="002A24D1" w:rsidRPr="002A24D1">
        <w:t>its</w:t>
      </w:r>
      <w:r w:rsidRPr="002A24D1">
        <w:t xml:space="preserve"> approval of the </w:t>
      </w:r>
      <w:r w:rsidRPr="002A24D1">
        <w:rPr>
          <w:i/>
        </w:rPr>
        <w:t>ESM Accreditation Standard</w:t>
      </w:r>
      <w:r w:rsidR="002A24D1" w:rsidRPr="002A24D1">
        <w:rPr>
          <w:i/>
        </w:rPr>
        <w:t>s: Part B - Supervised Practice</w:t>
      </w:r>
      <w:r w:rsidR="002A24D1" w:rsidRPr="002A24D1">
        <w:rPr>
          <w:rFonts w:eastAsia="Times New Roman" w:cs="Arial"/>
          <w:szCs w:val="20"/>
        </w:rPr>
        <w:t xml:space="preserve"> </w:t>
      </w:r>
      <w:r w:rsidR="002A24D1" w:rsidRPr="003C46C2">
        <w:rPr>
          <w:rFonts w:eastAsia="Times New Roman" w:cs="Arial"/>
          <w:szCs w:val="20"/>
        </w:rPr>
        <w:t>as these accreditation standards have never been used to accredit programs of study for the purpose of endorsement for scheduled medicines and will not be used to accredit programs of study in the future because they are outdated.</w:t>
      </w:r>
    </w:p>
    <w:p w:rsidR="003C46C2" w:rsidRPr="003C46C2" w:rsidRDefault="001F68EC" w:rsidP="00BD2721">
      <w:pPr>
        <w:pStyle w:val="AHPRAbody"/>
        <w:rPr>
          <w:rFonts w:eastAsia="Times New Roman" w:cs="Arial"/>
          <w:szCs w:val="20"/>
        </w:rPr>
      </w:pPr>
      <w:r w:rsidRPr="002A24D1">
        <w:t>The</w:t>
      </w:r>
      <w:r w:rsidR="003C46C2" w:rsidRPr="002A24D1">
        <w:t xml:space="preserve"> Board has </w:t>
      </w:r>
      <w:r w:rsidR="005C3CDB">
        <w:t>asked</w:t>
      </w:r>
      <w:r w:rsidR="003C46C2" w:rsidRPr="002A24D1">
        <w:t xml:space="preserve"> </w:t>
      </w:r>
      <w:r w:rsidRPr="002A24D1">
        <w:t xml:space="preserve">its accreditation authority, </w:t>
      </w:r>
      <w:r w:rsidR="003C46C2" w:rsidRPr="002A24D1">
        <w:t>ANZPAC</w:t>
      </w:r>
      <w:r w:rsidR="002A24D1" w:rsidRPr="002A24D1">
        <w:t>,</w:t>
      </w:r>
      <w:r w:rsidR="003C46C2" w:rsidRPr="002A24D1">
        <w:t xml:space="preserve"> </w:t>
      </w:r>
      <w:r w:rsidR="002A24D1" w:rsidRPr="003C46C2">
        <w:rPr>
          <w:rFonts w:eastAsia="Times New Roman" w:cs="Arial"/>
          <w:szCs w:val="20"/>
        </w:rPr>
        <w:t xml:space="preserve">to develop revised accreditation standards for endorsement for scheduled medicines. </w:t>
      </w:r>
    </w:p>
    <w:p w:rsidR="00CD19E6" w:rsidRPr="00CD19E6" w:rsidRDefault="00CD19E6" w:rsidP="00CD19E6">
      <w:pPr>
        <w:pStyle w:val="AHPRASubheadinglevel2"/>
        <w:rPr>
          <w:color w:val="007DC3"/>
        </w:rPr>
      </w:pPr>
      <w:r w:rsidRPr="00CD19E6">
        <w:rPr>
          <w:color w:val="007DC3"/>
        </w:rPr>
        <w:t xml:space="preserve">Revised standard for </w:t>
      </w:r>
      <w:proofErr w:type="spellStart"/>
      <w:r w:rsidRPr="00CD19E6">
        <w:rPr>
          <w:color w:val="007DC3"/>
        </w:rPr>
        <w:t>recency</w:t>
      </w:r>
      <w:proofErr w:type="spellEnd"/>
      <w:r w:rsidRPr="00CD19E6">
        <w:rPr>
          <w:color w:val="007DC3"/>
        </w:rPr>
        <w:t xml:space="preserve"> of practice published</w:t>
      </w:r>
    </w:p>
    <w:p w:rsidR="00CD19E6" w:rsidRDefault="00CD19E6" w:rsidP="00BD2721">
      <w:pPr>
        <w:pStyle w:val="AHPRAbody"/>
      </w:pPr>
      <w:r w:rsidRPr="00B96CE3">
        <w:t xml:space="preserve">A revised registration standard for </w:t>
      </w:r>
      <w:proofErr w:type="spellStart"/>
      <w:r w:rsidRPr="00B96CE3">
        <w:t>recency</w:t>
      </w:r>
      <w:proofErr w:type="spellEnd"/>
      <w:r w:rsidRPr="00B96CE3">
        <w:t xml:space="preserve"> of practice </w:t>
      </w:r>
      <w:r>
        <w:t>was</w:t>
      </w:r>
      <w:r w:rsidRPr="00B96CE3">
        <w:t xml:space="preserve"> published </w:t>
      </w:r>
      <w:r>
        <w:t>in early February.</w:t>
      </w:r>
    </w:p>
    <w:p w:rsidR="00CD19E6" w:rsidRDefault="00CD19E6" w:rsidP="00BD2721">
      <w:pPr>
        <w:pStyle w:val="AHPRAbody"/>
      </w:pPr>
      <w:r w:rsidRPr="00B96CE3">
        <w:t xml:space="preserve">The </w:t>
      </w:r>
      <w:hyperlink r:id="rId8" w:history="1">
        <w:r w:rsidRPr="00E7574F">
          <w:rPr>
            <w:rStyle w:val="Hyperlink"/>
          </w:rPr>
          <w:t>revised standard</w:t>
        </w:r>
      </w:hyperlink>
      <w:r w:rsidRPr="00B96CE3">
        <w:t xml:space="preserve"> will come in to effect on </w:t>
      </w:r>
      <w:r w:rsidRPr="00CD19E6">
        <w:rPr>
          <w:b/>
        </w:rPr>
        <w:t>1 December 2016</w:t>
      </w:r>
      <w:r w:rsidRPr="00B96CE3">
        <w:t xml:space="preserve"> and will replace the standard that is currently in place. This standard will apply to all registered podiatrists and podiatric surgeons except those with non-practising registration. Practitioners will need to meet the obligations of the revised standard by the time they renew their registration in 2017. </w:t>
      </w:r>
    </w:p>
    <w:p w:rsidR="00CD19E6" w:rsidRDefault="00CD19E6" w:rsidP="00BD2721">
      <w:pPr>
        <w:pStyle w:val="AHPRAbody"/>
      </w:pPr>
      <w:r>
        <w:lastRenderedPageBreak/>
        <w:t xml:space="preserve">The revised standard has been published well in advance of its commencement to provide practitioners adequate time to prepare for the changes to the </w:t>
      </w:r>
      <w:proofErr w:type="spellStart"/>
      <w:r>
        <w:t>recency</w:t>
      </w:r>
      <w:proofErr w:type="spellEnd"/>
      <w:r>
        <w:t xml:space="preserve"> requirements.</w:t>
      </w:r>
    </w:p>
    <w:p w:rsidR="00CD19E6" w:rsidRDefault="00CD19E6" w:rsidP="00BD2721">
      <w:pPr>
        <w:pStyle w:val="AHPRAbody"/>
      </w:pPr>
      <w:r w:rsidRPr="00B96CE3">
        <w:t xml:space="preserve">The key change to the Board’s </w:t>
      </w:r>
      <w:proofErr w:type="spellStart"/>
      <w:r w:rsidRPr="00B96CE3">
        <w:t>recency</w:t>
      </w:r>
      <w:proofErr w:type="spellEnd"/>
      <w:r w:rsidRPr="00B96CE3">
        <w:t xml:space="preserve"> of practice requirements is th</w:t>
      </w:r>
      <w:r w:rsidR="005C3CDB">
        <w:t xml:space="preserve">e introduction of </w:t>
      </w:r>
      <w:r w:rsidRPr="00B96CE3">
        <w:t xml:space="preserve">minimum hours of practice. </w:t>
      </w:r>
    </w:p>
    <w:p w:rsidR="00CD19E6" w:rsidRDefault="00CD19E6" w:rsidP="00BD2721">
      <w:pPr>
        <w:pStyle w:val="AHPRAbody"/>
      </w:pPr>
      <w:r w:rsidRPr="00B96CE3">
        <w:t xml:space="preserve">To meet the standard, practitioners must practise within their </w:t>
      </w:r>
      <w:r w:rsidRPr="00CD19E6">
        <w:rPr>
          <w:b/>
        </w:rPr>
        <w:t>scope of practice</w:t>
      </w:r>
      <w:r w:rsidRPr="00B96CE3">
        <w:t xml:space="preserve"> for a minimum of: </w:t>
      </w:r>
    </w:p>
    <w:p w:rsidR="00CD19E6" w:rsidRPr="00B96CE3" w:rsidRDefault="00CD19E6" w:rsidP="00BD2721">
      <w:pPr>
        <w:pStyle w:val="AHPRABulletlevel1"/>
      </w:pPr>
      <w:r w:rsidRPr="00B96CE3">
        <w:t>450 hours in the previous three years (equivalent to approx. 3 months full</w:t>
      </w:r>
      <w:r w:rsidR="005C3CDB">
        <w:t>-</w:t>
      </w:r>
      <w:r w:rsidRPr="00B96CE3">
        <w:t>time), or </w:t>
      </w:r>
    </w:p>
    <w:p w:rsidR="00CD19E6" w:rsidRDefault="00CD19E6" w:rsidP="00BD2721">
      <w:pPr>
        <w:pStyle w:val="AHPRABulletlevel1last"/>
      </w:pPr>
      <w:r w:rsidRPr="00B96CE3">
        <w:t>150 hours in the previous 12 months (equivalent to approx. 1 month full</w:t>
      </w:r>
      <w:r w:rsidR="005C3CDB">
        <w:t>-</w:t>
      </w:r>
      <w:r w:rsidRPr="00B96CE3">
        <w:t>time).</w:t>
      </w:r>
    </w:p>
    <w:p w:rsidR="00CD19E6" w:rsidRDefault="00CD19E6" w:rsidP="00BD2721">
      <w:pPr>
        <w:pStyle w:val="AHPRAbody"/>
      </w:pPr>
      <w:r>
        <w:t>The Board expects that m</w:t>
      </w:r>
      <w:r w:rsidRPr="00B96CE3">
        <w:t xml:space="preserve">ost practitioners who are currently practising will meet the revised standard. </w:t>
      </w:r>
      <w:r>
        <w:t xml:space="preserve"> </w:t>
      </w:r>
    </w:p>
    <w:p w:rsidR="00CD19E6" w:rsidRDefault="00CD19E6" w:rsidP="00BD2721">
      <w:pPr>
        <w:pStyle w:val="AHPRAbody"/>
      </w:pPr>
      <w:r>
        <w:t>However, the change may affect those podiatrists and podiatric surgeons who are currently practising infrequently or who are currently taking a break from practice and wish to return to practice</w:t>
      </w:r>
      <w:r w:rsidR="005C3CDB">
        <w:t>.</w:t>
      </w:r>
      <w:r>
        <w:t xml:space="preserve"> The Board encourages all practitioners to review the new registration standard to check whether they will be affected by the changes.</w:t>
      </w:r>
    </w:p>
    <w:p w:rsidR="00CD19E6" w:rsidRDefault="00CD19E6" w:rsidP="00BD2721">
      <w:pPr>
        <w:pStyle w:val="AHPRAbody"/>
      </w:pPr>
      <w:r>
        <w:t>The Board has also published guidelines and FAQ to support the standard and to help practitioners understand its requirements.</w:t>
      </w:r>
    </w:p>
    <w:p w:rsidR="00CD19E6" w:rsidRDefault="00CD19E6" w:rsidP="00BD2721">
      <w:pPr>
        <w:pStyle w:val="AHPRAbody"/>
      </w:pPr>
      <w:r>
        <w:t xml:space="preserve">For more information, see the </w:t>
      </w:r>
      <w:hyperlink r:id="rId9" w:history="1">
        <w:r w:rsidRPr="005B720A">
          <w:rPr>
            <w:rStyle w:val="Hyperlink"/>
          </w:rPr>
          <w:t>news item</w:t>
        </w:r>
      </w:hyperlink>
      <w:r>
        <w:t xml:space="preserve"> on the Board’s website.</w:t>
      </w:r>
    </w:p>
    <w:p w:rsidR="001D17B5" w:rsidRDefault="001D17B5" w:rsidP="001D17B5">
      <w:pPr>
        <w:pStyle w:val="AHPRAitemlevel2"/>
        <w:numPr>
          <w:ilvl w:val="0"/>
          <w:numId w:val="0"/>
        </w:numPr>
        <w:rPr>
          <w:color w:val="007DC3"/>
        </w:rPr>
      </w:pPr>
      <w:r w:rsidRPr="001D17B5">
        <w:rPr>
          <w:color w:val="007DC3"/>
        </w:rPr>
        <w:t>Revised guidelines for infection prevention and control</w:t>
      </w:r>
      <w:r>
        <w:rPr>
          <w:color w:val="007DC3"/>
        </w:rPr>
        <w:t xml:space="preserve"> </w:t>
      </w:r>
      <w:r w:rsidR="00CD19E6">
        <w:rPr>
          <w:color w:val="007DC3"/>
        </w:rPr>
        <w:t>published</w:t>
      </w:r>
    </w:p>
    <w:p w:rsidR="001F54D0" w:rsidRPr="008243F2" w:rsidRDefault="00CD19E6" w:rsidP="00BD2721">
      <w:pPr>
        <w:pStyle w:val="AHPRAbody"/>
      </w:pPr>
      <w:r>
        <w:t>The Board</w:t>
      </w:r>
      <w:r w:rsidR="001F54D0" w:rsidRPr="008243F2">
        <w:t xml:space="preserve"> has published revised </w:t>
      </w:r>
      <w:hyperlink r:id="rId10" w:history="1">
        <w:r w:rsidR="00A75707">
          <w:rPr>
            <w:rStyle w:val="Hyperlink"/>
            <w:rFonts w:cs="Arial"/>
            <w:szCs w:val="20"/>
          </w:rPr>
          <w:t>G</w:t>
        </w:r>
        <w:r w:rsidR="001F54D0">
          <w:rPr>
            <w:rStyle w:val="Hyperlink"/>
            <w:rFonts w:cs="Arial"/>
            <w:szCs w:val="20"/>
          </w:rPr>
          <w:t>uidelines on infection prevention and control</w:t>
        </w:r>
      </w:hyperlink>
      <w:r w:rsidR="001F54D0">
        <w:t xml:space="preserve">. </w:t>
      </w:r>
      <w:r w:rsidR="001F54D0" w:rsidRPr="008243F2">
        <w:t xml:space="preserve">The guidelines, which describe the obligations of registered podiatrists and podiatric surgeons with respect to infection prevention and control, </w:t>
      </w:r>
      <w:r w:rsidR="001F54D0">
        <w:t xml:space="preserve">will </w:t>
      </w:r>
      <w:r w:rsidR="001F54D0" w:rsidRPr="008243F2">
        <w:t xml:space="preserve">come into effect on </w:t>
      </w:r>
      <w:r w:rsidR="001F54D0" w:rsidRPr="00573163">
        <w:rPr>
          <w:b/>
        </w:rPr>
        <w:t>4 April 2016</w:t>
      </w:r>
      <w:r w:rsidR="001F54D0" w:rsidRPr="008243F2">
        <w:t xml:space="preserve">.  </w:t>
      </w:r>
    </w:p>
    <w:p w:rsidR="001F54D0" w:rsidRDefault="001F54D0" w:rsidP="00BD2721">
      <w:pPr>
        <w:pStyle w:val="AHPRAbody"/>
      </w:pPr>
      <w:r w:rsidRPr="008243F2">
        <w:t>Effective infection prevention and control is central to providing high quality care for patients and a safe working environment for those that work in healthca</w:t>
      </w:r>
      <w:r>
        <w:t xml:space="preserve">re settings. The Board expects </w:t>
      </w:r>
      <w:r w:rsidRPr="008243F2">
        <w:t xml:space="preserve">podiatrists and podiatric surgeons to practise in a way that maintains and enhances public health and safety by ensuring that the risk of the spread of infection is prevented or minimised.  </w:t>
      </w:r>
    </w:p>
    <w:p w:rsidR="001F54D0" w:rsidRPr="008243F2" w:rsidRDefault="001F54D0" w:rsidP="00BD2721">
      <w:pPr>
        <w:pStyle w:val="AHPRAbody"/>
      </w:pPr>
      <w:r w:rsidRPr="008243F2">
        <w:t>Th</w:t>
      </w:r>
      <w:r>
        <w:t xml:space="preserve">e Board </w:t>
      </w:r>
      <w:r w:rsidRPr="008243F2">
        <w:t>ha</w:t>
      </w:r>
      <w:r>
        <w:t>s made</w:t>
      </w:r>
      <w:r w:rsidRPr="008243F2">
        <w:t xml:space="preserve"> minimal changes to the guidelines</w:t>
      </w:r>
      <w:r>
        <w:t xml:space="preserve"> and </w:t>
      </w:r>
      <w:r w:rsidR="00A75707">
        <w:t>is</w:t>
      </w:r>
      <w:r>
        <w:t xml:space="preserve"> continuing to </w:t>
      </w:r>
      <w:r w:rsidRPr="008243F2">
        <w:t xml:space="preserve">adopt the </w:t>
      </w:r>
      <w:hyperlink r:id="rId11" w:history="1">
        <w:r w:rsidRPr="007D3A15">
          <w:rPr>
            <w:rStyle w:val="Hyperlink"/>
            <w:rFonts w:cs="Arial"/>
            <w:szCs w:val="20"/>
          </w:rPr>
          <w:t>National Health and Medical Research Council Australian guidelines for the prevention and control of infection in healthcare</w:t>
        </w:r>
      </w:hyperlink>
      <w:r w:rsidRPr="008243F2">
        <w:t xml:space="preserve"> (NHMRC guidelines). The NHMRC guidelines were developed using best available evidence and aim to promote and facilitate the overall goal of infection prevention and control.</w:t>
      </w:r>
    </w:p>
    <w:p w:rsidR="001F54D0" w:rsidRPr="008243F2" w:rsidRDefault="001F54D0" w:rsidP="00BD2721">
      <w:pPr>
        <w:pStyle w:val="AHPRAbody"/>
      </w:pPr>
      <w:r w:rsidRPr="008243F2">
        <w:t>Practitioners must be familiar with and practise within the recommendations of the NHMRC guidelines as they apply to the practice setting(s) in which they work.</w:t>
      </w:r>
    </w:p>
    <w:p w:rsidR="007D3A15" w:rsidRDefault="007D3A15" w:rsidP="007D3A15">
      <w:pPr>
        <w:pStyle w:val="AHPRAitemlevel2"/>
        <w:numPr>
          <w:ilvl w:val="0"/>
          <w:numId w:val="0"/>
        </w:numPr>
        <w:rPr>
          <w:color w:val="007DC3"/>
        </w:rPr>
      </w:pPr>
      <w:proofErr w:type="spellStart"/>
      <w:r>
        <w:rPr>
          <w:color w:val="007DC3"/>
        </w:rPr>
        <w:t>Self audit</w:t>
      </w:r>
      <w:proofErr w:type="spellEnd"/>
      <w:r>
        <w:rPr>
          <w:color w:val="007DC3"/>
        </w:rPr>
        <w:t xml:space="preserve"> tool – infection prevention and control</w:t>
      </w:r>
    </w:p>
    <w:p w:rsidR="007D3A15" w:rsidRDefault="001F54D0" w:rsidP="00BD2721">
      <w:pPr>
        <w:pStyle w:val="AHPRAbody"/>
      </w:pPr>
      <w:r w:rsidRPr="008243F2">
        <w:t xml:space="preserve">The Board has also developed and published a </w:t>
      </w:r>
      <w:hyperlink r:id="rId12" w:history="1">
        <w:r w:rsidR="007D3A15">
          <w:rPr>
            <w:rStyle w:val="Hyperlink"/>
            <w:rFonts w:cs="Arial"/>
            <w:szCs w:val="20"/>
          </w:rPr>
          <w:t>tool</w:t>
        </w:r>
      </w:hyperlink>
      <w:r w:rsidR="007D3A15">
        <w:t xml:space="preserve"> </w:t>
      </w:r>
      <w:r w:rsidRPr="008243F2">
        <w:t xml:space="preserve">that practitioners may choose to use to see how well they comply with the Board’s </w:t>
      </w:r>
      <w:r w:rsidR="00CD7D53" w:rsidRPr="000F027E">
        <w:t>Guidelines on infection prevention and control</w:t>
      </w:r>
      <w:r w:rsidRPr="008243F2">
        <w:t xml:space="preserve">. </w:t>
      </w:r>
    </w:p>
    <w:p w:rsidR="001F54D0" w:rsidRDefault="007D3A15" w:rsidP="00BD2721">
      <w:pPr>
        <w:pStyle w:val="AHPRAbody"/>
      </w:pPr>
      <w:r>
        <w:t xml:space="preserve">The Board hopes that practitioners will utilise the </w:t>
      </w:r>
      <w:proofErr w:type="spellStart"/>
      <w:r>
        <w:t>self audit</w:t>
      </w:r>
      <w:proofErr w:type="spellEnd"/>
      <w:r>
        <w:t xml:space="preserve"> tool </w:t>
      </w:r>
      <w:r w:rsidR="001F54D0" w:rsidRPr="008243F2">
        <w:t>as a checklist to ensure that their workplace is in a clean and hygienic state and they are taking the necessary practicable steps to prevent or minimise the spread of infection.</w:t>
      </w:r>
    </w:p>
    <w:p w:rsidR="00C87E4C" w:rsidRPr="001D17B5" w:rsidRDefault="003C46C2" w:rsidP="00892556">
      <w:pPr>
        <w:pStyle w:val="AHPRAbody"/>
        <w:rPr>
          <w:b/>
          <w:color w:val="007DC3"/>
        </w:rPr>
      </w:pPr>
      <w:r>
        <w:rPr>
          <w:b/>
          <w:color w:val="007DC3"/>
        </w:rPr>
        <w:t xml:space="preserve">Call for applications </w:t>
      </w:r>
    </w:p>
    <w:p w:rsidR="003C46C2" w:rsidRPr="003C46C2" w:rsidRDefault="001F68EC" w:rsidP="00BD2721">
      <w:pPr>
        <w:pStyle w:val="AHPRAbody"/>
      </w:pPr>
      <w:r w:rsidRPr="001F68EC">
        <w:t xml:space="preserve">The Board is currently </w:t>
      </w:r>
      <w:r w:rsidR="003C46C2" w:rsidRPr="003C46C2">
        <w:t>seek</w:t>
      </w:r>
      <w:r w:rsidRPr="001F68EC">
        <w:t>ing</w:t>
      </w:r>
      <w:r w:rsidR="003C46C2" w:rsidRPr="003C46C2">
        <w:t xml:space="preserve"> applications from experienced registered practitioners for appointment to the Board’s list of approved persons for panel appointments.</w:t>
      </w:r>
    </w:p>
    <w:p w:rsidR="003C46C2" w:rsidRPr="003C46C2" w:rsidRDefault="003C46C2" w:rsidP="00BD2721">
      <w:pPr>
        <w:pStyle w:val="AHPRAbody"/>
      </w:pPr>
      <w:r w:rsidRPr="003C46C2">
        <w:t>Under the National Law, health panels and performance and professional standards panels are convened by National Boards when required to hold hearings into specific health, performance or conduct matters for individual registered health professionals. Such panels consist of members chosen from the list of persons approved by the National Board.</w:t>
      </w:r>
    </w:p>
    <w:p w:rsidR="003C46C2" w:rsidRPr="003C46C2" w:rsidRDefault="003C46C2" w:rsidP="00BD2721">
      <w:pPr>
        <w:pStyle w:val="AHPRAbody"/>
      </w:pPr>
      <w:r w:rsidRPr="003C46C2">
        <w:t>The Board is seeking re</w:t>
      </w:r>
      <w:r w:rsidR="001F68EC" w:rsidRPr="001F68EC">
        <w:t>gistered practising podiatrists and</w:t>
      </w:r>
      <w:r w:rsidRPr="003C46C2">
        <w:t xml:space="preserve"> podiatric surgeons and medical practitioners</w:t>
      </w:r>
      <w:r w:rsidR="001F68EC" w:rsidRPr="001F68EC">
        <w:rPr>
          <w:rStyle w:val="FootnoteReference"/>
          <w:rFonts w:eastAsia="Times New Roman" w:cs="Arial"/>
          <w:szCs w:val="20"/>
        </w:rPr>
        <w:footnoteReference w:id="3"/>
      </w:r>
      <w:r w:rsidRPr="003C46C2">
        <w:t xml:space="preserve"> with at least five (5) years recent practice experience and who reside in all state</w:t>
      </w:r>
      <w:r w:rsidR="001F68EC" w:rsidRPr="001F68EC">
        <w:t>s and territories (except NSW</w:t>
      </w:r>
      <w:r w:rsidR="001F68EC" w:rsidRPr="001F68EC">
        <w:rPr>
          <w:rStyle w:val="FootnoteReference"/>
          <w:rFonts w:eastAsia="Times New Roman" w:cs="Arial"/>
          <w:szCs w:val="20"/>
        </w:rPr>
        <w:footnoteReference w:id="4"/>
      </w:r>
      <w:r w:rsidRPr="003C46C2">
        <w:t>).for appointment to the list of approved persons.</w:t>
      </w:r>
    </w:p>
    <w:p w:rsidR="001F68EC" w:rsidRDefault="001F68EC" w:rsidP="00BD2721">
      <w:pPr>
        <w:pStyle w:val="AHPRAbody"/>
        <w:rPr>
          <w:color w:val="444444"/>
        </w:rPr>
      </w:pPr>
      <w:r w:rsidRPr="001F68EC">
        <w:t>I</w:t>
      </w:r>
      <w:r w:rsidRPr="003C46C2">
        <w:t xml:space="preserve">nformation </w:t>
      </w:r>
      <w:r w:rsidRPr="001F68EC">
        <w:t>about</w:t>
      </w:r>
      <w:r w:rsidRPr="003C46C2">
        <w:t xml:space="preserve"> the role and the application process, </w:t>
      </w:r>
      <w:r w:rsidRPr="001F68EC">
        <w:t>including an</w:t>
      </w:r>
      <w:r w:rsidRPr="003C46C2">
        <w:t xml:space="preserve"> applica</w:t>
      </w:r>
      <w:r w:rsidRPr="001F68EC">
        <w:t>tion guide and application form</w:t>
      </w:r>
      <w:r w:rsidRPr="003C46C2">
        <w:t xml:space="preserve"> </w:t>
      </w:r>
      <w:r w:rsidRPr="001F68EC">
        <w:t>can be found on the AHPRA</w:t>
      </w:r>
      <w:r>
        <w:rPr>
          <w:color w:val="444444"/>
        </w:rPr>
        <w:t xml:space="preserve"> </w:t>
      </w:r>
      <w:hyperlink r:id="rId13" w:history="1">
        <w:r>
          <w:rPr>
            <w:rStyle w:val="Hyperlink"/>
            <w:rFonts w:eastAsia="Times New Roman" w:cs="Arial"/>
            <w:szCs w:val="20"/>
          </w:rPr>
          <w:t>website</w:t>
        </w:r>
      </w:hyperlink>
      <w:r>
        <w:rPr>
          <w:color w:val="444444"/>
        </w:rPr>
        <w:t>.</w:t>
      </w:r>
    </w:p>
    <w:p w:rsidR="00A75707" w:rsidRDefault="00A75707" w:rsidP="00A75707">
      <w:pPr>
        <w:pStyle w:val="AHPRASubheading"/>
      </w:pPr>
      <w:r>
        <w:t>National awareness campaign</w:t>
      </w:r>
    </w:p>
    <w:p w:rsidR="00A75707" w:rsidRPr="00005E2C" w:rsidRDefault="00A75707" w:rsidP="00BD2721">
      <w:pPr>
        <w:pStyle w:val="AHPRAbody"/>
      </w:pPr>
      <w:r w:rsidRPr="00005E2C">
        <w:t xml:space="preserve">You may have seen the beginning of the AHPRA national awareness campaign. </w:t>
      </w:r>
      <w:r w:rsidRPr="00005E2C">
        <w:rPr>
          <w:b/>
          <w:bCs/>
        </w:rPr>
        <w:t>Know your obligations</w:t>
      </w:r>
      <w:r w:rsidRPr="00005E2C">
        <w:t xml:space="preserve">, the first of three phases, directed at employers of health practitioners, launched at the close of last year. The message has been shared over social media through targeted ads resulting in a doubling of our online community.  </w:t>
      </w:r>
    </w:p>
    <w:p w:rsidR="00A75707" w:rsidRPr="00005E2C" w:rsidRDefault="00A75707" w:rsidP="00BD2721">
      <w:pPr>
        <w:pStyle w:val="AHPRAbody"/>
      </w:pPr>
      <w:r w:rsidRPr="00005E2C">
        <w:t>The next phase of the campaign is targeted at practitioners. Under the headline of</w:t>
      </w:r>
      <w:r w:rsidRPr="00005E2C">
        <w:rPr>
          <w:b/>
          <w:bCs/>
        </w:rPr>
        <w:t xml:space="preserve"> </w:t>
      </w:r>
      <w:proofErr w:type="gramStart"/>
      <w:r w:rsidRPr="00005E2C">
        <w:rPr>
          <w:b/>
          <w:bCs/>
        </w:rPr>
        <w:t>The</w:t>
      </w:r>
      <w:proofErr w:type="gramEnd"/>
      <w:r w:rsidRPr="00005E2C">
        <w:t xml:space="preserve"> </w:t>
      </w:r>
      <w:r w:rsidRPr="00005E2C">
        <w:rPr>
          <w:b/>
          <w:bCs/>
        </w:rPr>
        <w:t>not-so-small print</w:t>
      </w:r>
      <w:r w:rsidRPr="00005E2C">
        <w:t>, practitioners are encouraged to stay up</w:t>
      </w:r>
      <w:r>
        <w:t xml:space="preserve"> </w:t>
      </w:r>
      <w:r w:rsidRPr="00005E2C">
        <w:t>to</w:t>
      </w:r>
      <w:r>
        <w:t xml:space="preserve"> </w:t>
      </w:r>
      <w:r w:rsidRPr="00005E2C">
        <w:t xml:space="preserve">date with regulation changes as they occur, and to be aware of their obligations as registered </w:t>
      </w:r>
      <w:r>
        <w:t xml:space="preserve">health </w:t>
      </w:r>
      <w:r w:rsidRPr="00005E2C">
        <w:t>practitioners. Advertisements will be rolled out later this month across a mix of social media, industry publications and newsletters.  </w:t>
      </w:r>
    </w:p>
    <w:p w:rsidR="00A75707" w:rsidRPr="00005E2C" w:rsidRDefault="00A75707" w:rsidP="00BD2721">
      <w:pPr>
        <w:pStyle w:val="AHPRAbody"/>
      </w:pPr>
      <w:r w:rsidRPr="00005E2C">
        <w:t xml:space="preserve">The final phase will be directed at the public to increase awareness of the </w:t>
      </w:r>
      <w:hyperlink r:id="rId14" w:history="1">
        <w:r w:rsidRPr="00A35E03">
          <w:rPr>
            <w:rStyle w:val="Hyperlink"/>
            <w:rFonts w:cs="Arial"/>
            <w:szCs w:val="20"/>
          </w:rPr>
          <w:t>national register of practitioners</w:t>
        </w:r>
      </w:hyperlink>
      <w:r>
        <w:t>.</w:t>
      </w:r>
    </w:p>
    <w:p w:rsidR="00873C08" w:rsidRPr="00892556" w:rsidRDefault="00873C08" w:rsidP="00892556">
      <w:pPr>
        <w:pStyle w:val="AHPRAbody"/>
        <w:rPr>
          <w:b/>
          <w:color w:val="007DC3"/>
        </w:rPr>
      </w:pPr>
      <w:r w:rsidRPr="00892556">
        <w:rPr>
          <w:b/>
          <w:color w:val="007DC3"/>
        </w:rPr>
        <w:t>Employer obligations</w:t>
      </w:r>
    </w:p>
    <w:p w:rsidR="00873C08" w:rsidRPr="00873C08" w:rsidRDefault="00873C08" w:rsidP="00BD2721">
      <w:pPr>
        <w:pStyle w:val="AHPRAbody"/>
        <w:rPr>
          <w:b/>
        </w:rPr>
      </w:pPr>
      <w:r w:rsidRPr="00873C08">
        <w:t>If you employ registered health practitioners, you have an important obligation to ensure that they hold current registration and that you understand your mandatory notification requirements under the National Law.</w:t>
      </w:r>
    </w:p>
    <w:p w:rsidR="00873C08" w:rsidRPr="00873C08" w:rsidRDefault="00873C08" w:rsidP="00BD2721">
      <w:pPr>
        <w:pStyle w:val="AHPRAbody"/>
        <w:rPr>
          <w:b/>
        </w:rPr>
      </w:pPr>
      <w:r w:rsidRPr="00873C08">
        <w:t xml:space="preserve">AHPRA has published </w:t>
      </w:r>
      <w:hyperlink r:id="rId15" w:anchor="resources" w:history="1">
        <w:r w:rsidR="00A75707" w:rsidRPr="00336B22">
          <w:rPr>
            <w:rStyle w:val="Hyperlink"/>
          </w:rPr>
          <w:t>resources</w:t>
        </w:r>
      </w:hyperlink>
      <w:r w:rsidR="00A75707">
        <w:t xml:space="preserve"> </w:t>
      </w:r>
      <w:r w:rsidRPr="00873C08">
        <w:t>to help you understand and meet your obligations, which are designed to complement your recruitment requirements and processes. These materials state exactly what your obligations are and it is important that you are familiar with them.</w:t>
      </w:r>
    </w:p>
    <w:p w:rsidR="00873C08" w:rsidRDefault="00873C08" w:rsidP="00873C08">
      <w:pPr>
        <w:pStyle w:val="AHPRASubheading"/>
      </w:pPr>
      <w:r>
        <w:t>Health practitioner regulation: Learn how you’re protected</w:t>
      </w:r>
    </w:p>
    <w:p w:rsidR="00873C08" w:rsidRPr="00873C08" w:rsidRDefault="00873C08" w:rsidP="00BD2721">
      <w:pPr>
        <w:pStyle w:val="AHPRAbody"/>
        <w:rPr>
          <w:b/>
        </w:rPr>
      </w:pPr>
      <w:r w:rsidRPr="00873C08">
        <w:t>A new video and an accompanying infographic explaining the Australia-wide scheme that is in place to protect members of the public was released by AHPRA in December.</w:t>
      </w:r>
    </w:p>
    <w:p w:rsidR="00873C08" w:rsidRPr="00873C08" w:rsidRDefault="00873C08" w:rsidP="00BD2721">
      <w:pPr>
        <w:pStyle w:val="AHPRAbody"/>
        <w:rPr>
          <w:b/>
        </w:rPr>
      </w:pPr>
      <w:r w:rsidRPr="00873C08">
        <w:rPr>
          <w:szCs w:val="20"/>
          <w:lang w:val="en-US"/>
        </w:rPr>
        <w:t xml:space="preserve">Both resources are available on the </w:t>
      </w:r>
      <w:hyperlink r:id="rId16" w:tgtFrame="_blank" w:history="1">
        <w:proofErr w:type="gramStart"/>
        <w:r w:rsidR="00CD7D53" w:rsidRPr="00CD7D53">
          <w:rPr>
            <w:rStyle w:val="Hyperlink"/>
            <w:rFonts w:eastAsiaTheme="majorEastAsia"/>
            <w:szCs w:val="20"/>
            <w:lang w:val="en-US"/>
          </w:rPr>
          <w:t>What</w:t>
        </w:r>
        <w:proofErr w:type="gramEnd"/>
        <w:r w:rsidR="00CD7D53" w:rsidRPr="00CD7D53">
          <w:rPr>
            <w:rStyle w:val="Hyperlink"/>
            <w:rFonts w:eastAsiaTheme="majorEastAsia"/>
            <w:szCs w:val="20"/>
            <w:lang w:val="en-US"/>
          </w:rPr>
          <w:t xml:space="preserve"> we do</w:t>
        </w:r>
      </w:hyperlink>
      <w:r w:rsidRPr="00873C08">
        <w:rPr>
          <w:szCs w:val="20"/>
          <w:lang w:val="en-US"/>
        </w:rPr>
        <w:t xml:space="preserve"> page of the AHPRA website or read the</w:t>
      </w:r>
      <w:r w:rsidR="00FE1540">
        <w:rPr>
          <w:szCs w:val="20"/>
          <w:lang w:val="en-US"/>
        </w:rPr>
        <w:t xml:space="preserve"> </w:t>
      </w:r>
      <w:hyperlink r:id="rId17" w:history="1">
        <w:r w:rsidR="00FE1540">
          <w:rPr>
            <w:rStyle w:val="Hyperlink"/>
            <w:szCs w:val="20"/>
            <w:lang w:val="en-US"/>
          </w:rPr>
          <w:t>news item</w:t>
        </w:r>
      </w:hyperlink>
      <w:r w:rsidR="00FE1540">
        <w:rPr>
          <w:szCs w:val="20"/>
          <w:lang w:val="en-US"/>
        </w:rPr>
        <w:t xml:space="preserve"> </w:t>
      </w:r>
      <w:r w:rsidRPr="00873C08">
        <w:rPr>
          <w:szCs w:val="20"/>
          <w:lang w:val="en-US"/>
        </w:rPr>
        <w:t xml:space="preserve">on the Board website for more information. The video can also be watched on AHPRA’s </w:t>
      </w:r>
      <w:hyperlink r:id="rId18" w:tgtFrame="_blank" w:history="1">
        <w:r w:rsidR="00CD7D53" w:rsidRPr="00CD7D53">
          <w:rPr>
            <w:rStyle w:val="Hyperlink"/>
            <w:rFonts w:eastAsiaTheme="majorEastAsia"/>
            <w:szCs w:val="20"/>
            <w:lang w:val="en-US"/>
          </w:rPr>
          <w:t>YouTube channel</w:t>
        </w:r>
      </w:hyperlink>
      <w:r w:rsidRPr="00873C08">
        <w:rPr>
          <w:szCs w:val="20"/>
        </w:rPr>
        <w:t>.</w:t>
      </w:r>
    </w:p>
    <w:p w:rsidR="00A75707" w:rsidRPr="001004CD" w:rsidRDefault="00A75707" w:rsidP="00A75707">
      <w:pPr>
        <w:pStyle w:val="AHPRASubhead"/>
      </w:pPr>
      <w:r>
        <w:t>Podiatry Board of Australia p</w:t>
      </w:r>
      <w:r w:rsidRPr="001004CD">
        <w:t xml:space="preserve">rofession profile </w:t>
      </w:r>
    </w:p>
    <w:p w:rsidR="00A75707" w:rsidRPr="006F4438" w:rsidRDefault="00A75707" w:rsidP="00BD2721">
      <w:pPr>
        <w:pStyle w:val="AHPRAbody"/>
        <w:rPr>
          <w:lang w:val="en-US"/>
        </w:rPr>
      </w:pPr>
      <w:r w:rsidRPr="001004CD">
        <w:rPr>
          <w:lang w:val="en-US"/>
        </w:rPr>
        <w:t>The Board will publish</w:t>
      </w:r>
      <w:r>
        <w:rPr>
          <w:lang w:val="en-US"/>
        </w:rPr>
        <w:t xml:space="preserve"> in late March</w:t>
      </w:r>
      <w:r w:rsidRPr="001004CD">
        <w:rPr>
          <w:lang w:val="en-US"/>
        </w:rPr>
        <w:t xml:space="preserve"> a report of its work in </w:t>
      </w:r>
      <w:r>
        <w:rPr>
          <w:lang w:val="en-US"/>
        </w:rPr>
        <w:t xml:space="preserve">the regulation of the podiatry profession under the </w:t>
      </w:r>
      <w:r w:rsidRPr="001004CD">
        <w:rPr>
          <w:lang w:val="en-US"/>
        </w:rPr>
        <w:t xml:space="preserve">National Scheme during </w:t>
      </w:r>
      <w:r w:rsidRPr="006F4438">
        <w:rPr>
          <w:lang w:val="en-US"/>
        </w:rPr>
        <w:t xml:space="preserve">2014/15. </w:t>
      </w:r>
    </w:p>
    <w:p w:rsidR="00A75707" w:rsidRPr="006F4438" w:rsidRDefault="00A75707" w:rsidP="00BD2721">
      <w:pPr>
        <w:pStyle w:val="AHPRAbody"/>
        <w:rPr>
          <w:lang w:val="en-US"/>
        </w:rPr>
      </w:pPr>
      <w:r w:rsidRPr="006F4438">
        <w:rPr>
          <w:lang w:val="en-US"/>
        </w:rPr>
        <w:t xml:space="preserve">The report provides a profession-specific view of the Board’s work to manage risk to the public. It is a profile of regulation at work for </w:t>
      </w:r>
      <w:r>
        <w:rPr>
          <w:lang w:val="en-US"/>
        </w:rPr>
        <w:t xml:space="preserve">the podiatry profession </w:t>
      </w:r>
      <w:r w:rsidRPr="006F4438">
        <w:rPr>
          <w:lang w:val="en-US"/>
        </w:rPr>
        <w:t xml:space="preserve">in Australia for the 12 months ending 30 June 2015. </w:t>
      </w:r>
    </w:p>
    <w:p w:rsidR="00A75707" w:rsidRDefault="00A75707" w:rsidP="00BD2721">
      <w:pPr>
        <w:pStyle w:val="AHPRAbody"/>
        <w:rPr>
          <w:rFonts w:cs="Arial"/>
          <w:color w:val="000000"/>
          <w:szCs w:val="20"/>
        </w:rPr>
      </w:pPr>
      <w:r w:rsidRPr="006F4438">
        <w:rPr>
          <w:rFonts w:cs="Arial"/>
          <w:color w:val="000000"/>
          <w:szCs w:val="20"/>
        </w:rPr>
        <w:t xml:space="preserve">The data in this report are drawn from data published in the </w:t>
      </w:r>
      <w:hyperlink r:id="rId19" w:history="1">
        <w:r w:rsidRPr="006F4438">
          <w:rPr>
            <w:rStyle w:val="Hyperlink"/>
            <w:rFonts w:cs="Arial"/>
            <w:szCs w:val="20"/>
          </w:rPr>
          <w:t>2014/15 annual report</w:t>
        </w:r>
      </w:hyperlink>
      <w:r w:rsidRPr="006F4438">
        <w:rPr>
          <w:rFonts w:cs="Arial"/>
          <w:color w:val="0000FF"/>
          <w:szCs w:val="20"/>
        </w:rPr>
        <w:t xml:space="preserve"> </w:t>
      </w:r>
      <w:r w:rsidRPr="006F4438">
        <w:rPr>
          <w:rFonts w:cs="Arial"/>
          <w:color w:val="000000"/>
          <w:szCs w:val="20"/>
        </w:rPr>
        <w:t>of AHPRA and the National Boards, reporting on the National Scheme</w:t>
      </w:r>
      <w:r>
        <w:rPr>
          <w:rFonts w:cs="Arial"/>
          <w:color w:val="000000"/>
          <w:szCs w:val="20"/>
        </w:rPr>
        <w:t>.</w:t>
      </w:r>
    </w:p>
    <w:p w:rsidR="00A75707" w:rsidRPr="007F37B8" w:rsidRDefault="00A75707" w:rsidP="00A75707">
      <w:pPr>
        <w:pStyle w:val="AHPRASubheading"/>
        <w:rPr>
          <w:rFonts w:cs="Arial"/>
        </w:rPr>
      </w:pPr>
      <w:r w:rsidRPr="007F37B8">
        <w:rPr>
          <w:rFonts w:cs="Arial"/>
        </w:rPr>
        <w:t>Local data summaries from a</w:t>
      </w:r>
      <w:r>
        <w:rPr>
          <w:rFonts w:cs="Arial"/>
        </w:rPr>
        <w:t xml:space="preserve"> N</w:t>
      </w:r>
      <w:r w:rsidRPr="007F37B8">
        <w:rPr>
          <w:rFonts w:cs="Arial"/>
        </w:rPr>
        <w:t xml:space="preserve">ational </w:t>
      </w:r>
      <w:r>
        <w:rPr>
          <w:rFonts w:cs="Arial"/>
        </w:rPr>
        <w:t>S</w:t>
      </w:r>
      <w:r w:rsidRPr="007F37B8">
        <w:rPr>
          <w:rFonts w:cs="Arial"/>
        </w:rPr>
        <w:t>cheme</w:t>
      </w:r>
    </w:p>
    <w:p w:rsidR="00A75707" w:rsidRDefault="00A75707" w:rsidP="00BD2721">
      <w:pPr>
        <w:pStyle w:val="AHPRAbody"/>
      </w:pPr>
      <w:r>
        <w:t xml:space="preserve">The National Boards and AHPRA have published </w:t>
      </w:r>
      <w:hyperlink r:id="rId20" w:history="1">
        <w:r w:rsidRPr="001E43EC">
          <w:rPr>
            <w:rStyle w:val="Hyperlink"/>
            <w:rFonts w:cs="Arial"/>
            <w:szCs w:val="20"/>
          </w:rPr>
          <w:t>reports for each state and territory</w:t>
        </w:r>
      </w:hyperlink>
      <w:r>
        <w:t xml:space="preserve"> on the National Scheme. They are for the 2014/15 year of the scheme.</w:t>
      </w:r>
    </w:p>
    <w:p w:rsidR="00A75707" w:rsidRDefault="00A75707" w:rsidP="00BD2721">
      <w:pPr>
        <w:pStyle w:val="AHPRAbody"/>
      </w:pPr>
      <w:r>
        <w:t>The reports provide a unique insight on local outcomes within a scheme for which the core focus is protection of the public. They include local data on registration types, notifications (complaints) and mandatory notifications for the regulated health professions, for each state and territory.</w:t>
      </w:r>
    </w:p>
    <w:p w:rsidR="00975AA1" w:rsidRPr="009E0330" w:rsidRDefault="00975AA1" w:rsidP="009B58B7">
      <w:pPr>
        <w:pStyle w:val="AHPRASubheading"/>
      </w:pPr>
      <w:r w:rsidRPr="009E0330">
        <w:t xml:space="preserve">Further information </w:t>
      </w:r>
    </w:p>
    <w:p w:rsidR="00975AA1" w:rsidRDefault="00975AA1" w:rsidP="00BD2721">
      <w:pPr>
        <w:pStyle w:val="AHPRAbody"/>
      </w:pPr>
      <w:r w:rsidRPr="00B478FC">
        <w:t xml:space="preserve">Further information about the Board can be found on </w:t>
      </w:r>
      <w:r w:rsidR="00892556">
        <w:t>our</w:t>
      </w:r>
      <w:r w:rsidR="00393DFB" w:rsidRPr="00B478FC">
        <w:t xml:space="preserve"> </w:t>
      </w:r>
      <w:hyperlink r:id="rId21" w:history="1">
        <w:r w:rsidRPr="002E3447">
          <w:rPr>
            <w:rStyle w:val="Hyperlink"/>
          </w:rPr>
          <w:t>website</w:t>
        </w:r>
      </w:hyperlink>
      <w:r w:rsidRPr="00B478FC">
        <w:t xml:space="preserve"> and practitioners are encouraged to refer to the site for news and updates on </w:t>
      </w:r>
      <w:r w:rsidR="00393DFB">
        <w:t>p</w:t>
      </w:r>
      <w:r w:rsidR="00393DFB" w:rsidRPr="00B478FC">
        <w:t>olic</w:t>
      </w:r>
      <w:r w:rsidR="00393DFB">
        <w:t>ies</w:t>
      </w:r>
      <w:r w:rsidR="00393DFB" w:rsidRPr="00B478FC">
        <w:t xml:space="preserve"> </w:t>
      </w:r>
      <w:r w:rsidRPr="00B478FC">
        <w:t xml:space="preserve">and </w:t>
      </w:r>
      <w:r w:rsidR="00393DFB">
        <w:t>g</w:t>
      </w:r>
      <w:r w:rsidR="00393DFB" w:rsidRPr="00B478FC">
        <w:t xml:space="preserve">uidelines </w:t>
      </w:r>
      <w:r w:rsidRPr="00B478FC">
        <w:t xml:space="preserve">affecting their profession. </w:t>
      </w:r>
    </w:p>
    <w:p w:rsidR="00EB22A7" w:rsidRDefault="00EB22A7" w:rsidP="00975AA1">
      <w:pPr>
        <w:autoSpaceDE w:val="0"/>
        <w:autoSpaceDN w:val="0"/>
        <w:adjustRightInd w:val="0"/>
        <w:spacing w:after="0"/>
        <w:rPr>
          <w:rFonts w:cs="Arial"/>
          <w:color w:val="000000"/>
          <w:sz w:val="20"/>
          <w:szCs w:val="20"/>
          <w:lang w:eastAsia="en-AU"/>
        </w:rPr>
      </w:pPr>
    </w:p>
    <w:p w:rsidR="00975AA1" w:rsidRPr="00B478FC" w:rsidRDefault="00975AA1"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Cathy </w:t>
      </w:r>
      <w:proofErr w:type="spellStart"/>
      <w:r>
        <w:rPr>
          <w:rFonts w:cs="Arial"/>
          <w:color w:val="000000"/>
          <w:sz w:val="20"/>
          <w:szCs w:val="20"/>
          <w:lang w:eastAsia="en-AU"/>
        </w:rPr>
        <w:t>Loughry</w:t>
      </w:r>
      <w:proofErr w:type="spellEnd"/>
    </w:p>
    <w:p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rsidR="00975AA1" w:rsidRPr="007663CA"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sectPr w:rsidR="00975AA1" w:rsidRPr="007663CA" w:rsidSect="004B438E">
      <w:headerReference w:type="default" r:id="rId22"/>
      <w:footerReference w:type="even" r:id="rId23"/>
      <w:footerReference w:type="default" r:id="rId24"/>
      <w:headerReference w:type="first" r:id="rId25"/>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21" w:rsidRDefault="00BD2721" w:rsidP="00FC2881">
      <w:pPr>
        <w:spacing w:after="0"/>
      </w:pPr>
      <w:r>
        <w:separator/>
      </w:r>
    </w:p>
    <w:p w:rsidR="00BD2721" w:rsidRDefault="00BD2721"/>
  </w:endnote>
  <w:endnote w:type="continuationSeparator" w:id="0">
    <w:p w:rsidR="00BD2721" w:rsidRDefault="00BD2721" w:rsidP="00FC2881">
      <w:pPr>
        <w:spacing w:after="0"/>
      </w:pPr>
      <w:r>
        <w:continuationSeparator/>
      </w:r>
    </w:p>
    <w:p w:rsidR="00BD2721" w:rsidRDefault="00BD2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MT Lt">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21" w:rsidRDefault="00BD2721" w:rsidP="00FC2881">
    <w:pPr>
      <w:pStyle w:val="AHPRAfootnote"/>
      <w:framePr w:wrap="around" w:vAnchor="text" w:hAnchor="margin" w:xAlign="right" w:y="1"/>
    </w:pPr>
    <w:r>
      <w:fldChar w:fldCharType="begin"/>
    </w:r>
    <w:r>
      <w:instrText xml:space="preserve">PAGE  </w:instrText>
    </w:r>
    <w:r>
      <w:fldChar w:fldCharType="end"/>
    </w:r>
  </w:p>
  <w:p w:rsidR="00BD2721" w:rsidRDefault="00BD2721" w:rsidP="00FC2881">
    <w:pPr>
      <w:pStyle w:val="AHPRAfootnote"/>
      <w:ind w:right="360"/>
    </w:pPr>
  </w:p>
  <w:p w:rsidR="00BD2721" w:rsidRDefault="00BD27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21" w:rsidRPr="000E7E28" w:rsidRDefault="00BD2721" w:rsidP="009B58B7">
    <w:pPr>
      <w:pStyle w:val="AHPRApagenumber"/>
      <w:tabs>
        <w:tab w:val="right" w:pos="9356"/>
      </w:tabs>
      <w:jc w:val="left"/>
    </w:pPr>
    <w:r w:rsidRPr="004200F9">
      <w:rPr>
        <w:iCs/>
        <w:color w:val="008EC4"/>
      </w:rPr>
      <w:t>Podiatry Board of Australia communiqué</w:t>
    </w:r>
    <w:r>
      <w:rPr>
        <w:i/>
        <w:iCs/>
        <w:color w:val="008EC4"/>
      </w:rPr>
      <w:tab/>
      <w:t xml:space="preserve"> </w:t>
    </w:r>
    <w:sdt>
      <w:sdtPr>
        <w:id w:val="16333165"/>
        <w:docPartObj>
          <w:docPartGallery w:val="Page Numbers (Top of Page)"/>
          <w:docPartUnique/>
        </w:docPartObj>
      </w:sdtPr>
      <w:sdtEndPr/>
      <w:sdtContent>
        <w:r w:rsidRPr="000E7E28">
          <w:t xml:space="preserve">Page </w:t>
        </w:r>
        <w:r w:rsidR="00926259">
          <w:fldChar w:fldCharType="begin"/>
        </w:r>
        <w:r w:rsidR="00926259">
          <w:instrText xml:space="preserve"> PAGE </w:instrText>
        </w:r>
        <w:r w:rsidR="00926259">
          <w:fldChar w:fldCharType="separate"/>
        </w:r>
        <w:r w:rsidR="003560E8">
          <w:rPr>
            <w:noProof/>
          </w:rPr>
          <w:t>4</w:t>
        </w:r>
        <w:r w:rsidR="00926259">
          <w:rPr>
            <w:noProof/>
          </w:rPr>
          <w:fldChar w:fldCharType="end"/>
        </w:r>
        <w:r w:rsidRPr="000E7E28">
          <w:t xml:space="preserve"> of </w:t>
        </w:r>
        <w:fldSimple w:instr=" NUMPAGES  ">
          <w:r w:rsidR="003560E8">
            <w:rPr>
              <w:noProof/>
            </w:rPr>
            <w:t>4</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21" w:rsidRDefault="00BD2721" w:rsidP="000E7E28">
      <w:pPr>
        <w:spacing w:after="0"/>
      </w:pPr>
      <w:r>
        <w:separator/>
      </w:r>
    </w:p>
  </w:footnote>
  <w:footnote w:type="continuationSeparator" w:id="0">
    <w:p w:rsidR="00BD2721" w:rsidRDefault="00BD2721" w:rsidP="00FC2881">
      <w:pPr>
        <w:spacing w:after="0"/>
      </w:pPr>
      <w:r>
        <w:continuationSeparator/>
      </w:r>
    </w:p>
    <w:p w:rsidR="00BD2721" w:rsidRDefault="00BD2721"/>
  </w:footnote>
  <w:footnote w:type="continuationNotice" w:id="1">
    <w:p w:rsidR="00BD2721" w:rsidRDefault="00BD2721">
      <w:pPr>
        <w:spacing w:after="0"/>
      </w:pPr>
    </w:p>
  </w:footnote>
  <w:footnote w:id="2">
    <w:p w:rsidR="00BD2721" w:rsidRPr="000B08E9" w:rsidRDefault="00BD2721" w:rsidP="000B08E9">
      <w:pPr>
        <w:pStyle w:val="AHPRAfootnote"/>
      </w:pPr>
      <w:r>
        <w:rPr>
          <w:rStyle w:val="FootnoteReference"/>
        </w:rPr>
        <w:footnoteRef/>
      </w:r>
      <w:r>
        <w:t xml:space="preserve"> </w:t>
      </w:r>
      <w:r w:rsidRPr="000B08E9">
        <w:t xml:space="preserve">The Board is established under the Health Practitioner Regulation National Law as in force in each state and territory (the National Law). </w:t>
      </w:r>
    </w:p>
  </w:footnote>
  <w:footnote w:id="3">
    <w:p w:rsidR="00BD2721" w:rsidRPr="000B08E9" w:rsidRDefault="00BD2721" w:rsidP="000B08E9">
      <w:pPr>
        <w:pStyle w:val="AHPRAfootnote"/>
      </w:pPr>
      <w:r w:rsidRPr="000B08E9">
        <w:rPr>
          <w:rStyle w:val="FootnoteReference"/>
        </w:rPr>
        <w:footnoteRef/>
      </w:r>
      <w:r w:rsidRPr="000B08E9">
        <w:t xml:space="preserve">  At least one member of a health panel must be a medical practitioner.</w:t>
      </w:r>
    </w:p>
  </w:footnote>
  <w:footnote w:id="4">
    <w:p w:rsidR="00BD2721" w:rsidRPr="001F68EC" w:rsidRDefault="00BD2721" w:rsidP="00BD2721">
      <w:pPr>
        <w:pStyle w:val="AHPRAfootnote"/>
      </w:pPr>
      <w:r w:rsidRPr="001F68EC">
        <w:rPr>
          <w:rStyle w:val="FootnoteReference"/>
        </w:rPr>
        <w:footnoteRef/>
      </w:r>
      <w:r w:rsidRPr="001F68EC">
        <w:t xml:space="preserve">  Recruitment for panel members is in accordance with s</w:t>
      </w:r>
      <w:r>
        <w:t xml:space="preserve">ection </w:t>
      </w:r>
      <w:r w:rsidRPr="001F68EC">
        <w:t>183(2) of the National Law, and to the extent practicable, will exclude individuals whose residence or principal place of practice is in a co-regulatory jurisdiction (i.e. NSW).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21" w:rsidRPr="00315933" w:rsidRDefault="00BD2721" w:rsidP="00D638E0">
    <w:pPr>
      <w:ind w:left="-1134" w:right="-567"/>
      <w:jc w:val="right"/>
    </w:pPr>
  </w:p>
  <w:p w:rsidR="00BD2721" w:rsidRDefault="00BD27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21" w:rsidRDefault="00BD2721" w:rsidP="00E844A0">
    <w:r>
      <w:rPr>
        <w:noProof/>
        <w:lang w:eastAsia="en-AU"/>
      </w:rPr>
      <w:drawing>
        <wp:anchor distT="0" distB="0" distL="114300" distR="114300" simplePos="0" relativeHeight="251658240" behindDoc="0" locked="0" layoutInCell="1" allowOverlap="1">
          <wp:simplePos x="0" y="0"/>
          <wp:positionH relativeFrom="column">
            <wp:posOffset>4665980</wp:posOffset>
          </wp:positionH>
          <wp:positionV relativeFrom="paragraph">
            <wp:posOffset>133985</wp:posOffset>
          </wp:positionV>
          <wp:extent cx="1725930" cy="1800225"/>
          <wp:effectExtent l="0" t="0" r="0" b="0"/>
          <wp:wrapNone/>
          <wp:docPr id="3" name="Picture 1" descr="Podiat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930" cy="1800225"/>
                  </a:xfrm>
                  <a:prstGeom prst="rect">
                    <a:avLst/>
                  </a:prstGeom>
                  <a:noFill/>
                  <a:ln>
                    <a:noFill/>
                  </a:ln>
                </pic:spPr>
              </pic:pic>
            </a:graphicData>
          </a:graphic>
        </wp:anchor>
      </w:drawing>
    </w:r>
  </w:p>
  <w:p w:rsidR="00BD2721" w:rsidRDefault="00BD2721" w:rsidP="00E844A0"/>
  <w:p w:rsidR="00BD2721" w:rsidRDefault="00BD2721" w:rsidP="00975AA1">
    <w:pPr>
      <w:jc w:val="right"/>
    </w:pPr>
  </w:p>
  <w:p w:rsidR="00BD2721" w:rsidRDefault="00BD2721"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bullet="t">
        <v:imagedata r:id="rId1" o:title="squaredotpoint-orange"/>
      </v:shape>
    </w:pict>
  </w:numPicBullet>
  <w:numPicBullet w:numPicBulletId="1">
    <w:pict>
      <v:shape id="_x0000_i1029" type="#_x0000_t75" style="width:3in;height:3in" o:bullet="t"/>
    </w:pict>
  </w:numPicBullet>
  <w:abstractNum w:abstractNumId="0" w15:restartNumberingAfterBreak="0">
    <w:nsid w:val="FFFFFF7C"/>
    <w:multiLevelType w:val="singleLevel"/>
    <w:tmpl w:val="F16082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548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F29E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483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68E3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E0B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6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D8E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8A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4C5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8C50CD"/>
    <w:multiLevelType w:val="multilevel"/>
    <w:tmpl w:val="8508268E"/>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037DB3"/>
    <w:multiLevelType w:val="multilevel"/>
    <w:tmpl w:val="8D2C46AA"/>
    <w:numStyleLink w:val="AHPRANumberedheadinglist"/>
  </w:abstractNum>
  <w:abstractNum w:abstractNumId="13" w15:restartNumberingAfterBreak="0">
    <w:nsid w:val="0C862165"/>
    <w:multiLevelType w:val="multilevel"/>
    <w:tmpl w:val="8D2C46A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13C64312"/>
    <w:multiLevelType w:val="multilevel"/>
    <w:tmpl w:val="5F90B4FE"/>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056B50"/>
    <w:multiLevelType w:val="multilevel"/>
    <w:tmpl w:val="3A66A81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6"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7" w15:restartNumberingAfterBreak="0">
    <w:nsid w:val="29795173"/>
    <w:multiLevelType w:val="multilevel"/>
    <w:tmpl w:val="F08CCB96"/>
    <w:styleLink w:val="AHPRATableBullets"/>
    <w:lvl w:ilvl="0">
      <w:start w:val="1"/>
      <w:numFmt w:val="bullet"/>
      <w:lvlText w:val=""/>
      <w:lvlJc w:val="left"/>
      <w:pPr>
        <w:tabs>
          <w:tab w:val="num" w:pos="284"/>
        </w:tabs>
        <w:ind w:left="284" w:hanging="171"/>
      </w:pPr>
      <w:rPr>
        <w:rFonts w:ascii="Symbol" w:hAnsi="Symbol" w:hint="default"/>
      </w:rPr>
    </w:lvl>
    <w:lvl w:ilvl="1">
      <w:start w:val="1"/>
      <w:numFmt w:val="bullet"/>
      <w:lvlText w:val=""/>
      <w:lvlJc w:val="left"/>
      <w:pPr>
        <w:tabs>
          <w:tab w:val="num" w:pos="454"/>
        </w:tabs>
        <w:ind w:left="454" w:hanging="170"/>
      </w:pPr>
      <w:rPr>
        <w:rFonts w:ascii="Symbol" w:hAnsi="Symbol" w:hint="default"/>
      </w:rPr>
    </w:lvl>
    <w:lvl w:ilvl="2">
      <w:start w:val="1"/>
      <w:numFmt w:val="bullet"/>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353A77"/>
    <w:multiLevelType w:val="hybridMultilevel"/>
    <w:tmpl w:val="9B0EFACE"/>
    <w:lvl w:ilvl="0" w:tplc="16A8847E">
      <w:start w:val="1"/>
      <w:numFmt w:val="decimal"/>
      <w:pStyle w:val="AHPRAbodyboardparanumbered"/>
      <w:lvlText w:val="%1."/>
      <w:lvlJc w:val="left"/>
      <w:pPr>
        <w:ind w:left="360" w:hanging="360"/>
      </w:pPr>
      <w:rPr>
        <w:rFonts w:ascii="Arial" w:hAnsi="Arial"/>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5F72EB84" w:tentative="1">
      <w:start w:val="1"/>
      <w:numFmt w:val="lowerLetter"/>
      <w:lvlText w:val="%2."/>
      <w:lvlJc w:val="left"/>
      <w:pPr>
        <w:ind w:left="1440" w:hanging="360"/>
      </w:pPr>
    </w:lvl>
    <w:lvl w:ilvl="2" w:tplc="B27A78B6" w:tentative="1">
      <w:start w:val="1"/>
      <w:numFmt w:val="lowerRoman"/>
      <w:lvlText w:val="%3."/>
      <w:lvlJc w:val="right"/>
      <w:pPr>
        <w:ind w:left="2160" w:hanging="180"/>
      </w:pPr>
    </w:lvl>
    <w:lvl w:ilvl="3" w:tplc="4600C5C8" w:tentative="1">
      <w:start w:val="1"/>
      <w:numFmt w:val="decimal"/>
      <w:lvlText w:val="%4."/>
      <w:lvlJc w:val="left"/>
      <w:pPr>
        <w:ind w:left="2880" w:hanging="360"/>
      </w:pPr>
    </w:lvl>
    <w:lvl w:ilvl="4" w:tplc="2E12F436" w:tentative="1">
      <w:start w:val="1"/>
      <w:numFmt w:val="lowerLetter"/>
      <w:lvlText w:val="%5."/>
      <w:lvlJc w:val="left"/>
      <w:pPr>
        <w:ind w:left="3600" w:hanging="360"/>
      </w:pPr>
    </w:lvl>
    <w:lvl w:ilvl="5" w:tplc="3F200E86" w:tentative="1">
      <w:start w:val="1"/>
      <w:numFmt w:val="lowerRoman"/>
      <w:lvlText w:val="%6."/>
      <w:lvlJc w:val="right"/>
      <w:pPr>
        <w:ind w:left="4320" w:hanging="180"/>
      </w:pPr>
    </w:lvl>
    <w:lvl w:ilvl="6" w:tplc="919CB232" w:tentative="1">
      <w:start w:val="1"/>
      <w:numFmt w:val="decimal"/>
      <w:lvlText w:val="%7."/>
      <w:lvlJc w:val="left"/>
      <w:pPr>
        <w:ind w:left="5040" w:hanging="360"/>
      </w:pPr>
    </w:lvl>
    <w:lvl w:ilvl="7" w:tplc="C0B2EA2A" w:tentative="1">
      <w:start w:val="1"/>
      <w:numFmt w:val="lowerLetter"/>
      <w:lvlText w:val="%8."/>
      <w:lvlJc w:val="left"/>
      <w:pPr>
        <w:ind w:left="5760" w:hanging="360"/>
      </w:pPr>
    </w:lvl>
    <w:lvl w:ilvl="8" w:tplc="FB8A893A" w:tentative="1">
      <w:start w:val="1"/>
      <w:numFmt w:val="lowerRoman"/>
      <w:lvlText w:val="%9."/>
      <w:lvlJc w:val="right"/>
      <w:pPr>
        <w:ind w:left="6480" w:hanging="180"/>
      </w:pPr>
    </w:lvl>
  </w:abstractNum>
  <w:abstractNum w:abstractNumId="19" w15:restartNumberingAfterBreak="0">
    <w:nsid w:val="48192FC6"/>
    <w:multiLevelType w:val="hybridMultilevel"/>
    <w:tmpl w:val="2C6C71EE"/>
    <w:lvl w:ilvl="0" w:tplc="2BFA8138">
      <w:start w:val="1"/>
      <w:numFmt w:val="bullet"/>
      <w:pStyle w:val="AHPRABulletlevel1"/>
      <w:lvlText w:val=""/>
      <w:lvlJc w:val="left"/>
      <w:pPr>
        <w:ind w:left="15813" w:hanging="360"/>
      </w:pPr>
      <w:rPr>
        <w:rFonts w:ascii="Symbol" w:hAnsi="Symbol" w:hint="default"/>
      </w:rPr>
    </w:lvl>
    <w:lvl w:ilvl="1" w:tplc="1402EC5A">
      <w:start w:val="1"/>
      <w:numFmt w:val="bullet"/>
      <w:lvlText w:val="o"/>
      <w:lvlJc w:val="left"/>
      <w:pPr>
        <w:ind w:left="16533" w:hanging="360"/>
      </w:pPr>
      <w:rPr>
        <w:rFonts w:ascii="Courier New" w:hAnsi="Courier New" w:cs="Courier New" w:hint="default"/>
      </w:rPr>
    </w:lvl>
    <w:lvl w:ilvl="2" w:tplc="E5F225EA" w:tentative="1">
      <w:start w:val="1"/>
      <w:numFmt w:val="bullet"/>
      <w:lvlText w:val=""/>
      <w:lvlJc w:val="left"/>
      <w:pPr>
        <w:ind w:left="17253" w:hanging="360"/>
      </w:pPr>
      <w:rPr>
        <w:rFonts w:ascii="Wingdings" w:hAnsi="Wingdings" w:hint="default"/>
      </w:rPr>
    </w:lvl>
    <w:lvl w:ilvl="3" w:tplc="DA28D702" w:tentative="1">
      <w:start w:val="1"/>
      <w:numFmt w:val="bullet"/>
      <w:lvlText w:val=""/>
      <w:lvlJc w:val="left"/>
      <w:pPr>
        <w:ind w:left="17973" w:hanging="360"/>
      </w:pPr>
      <w:rPr>
        <w:rFonts w:ascii="Symbol" w:hAnsi="Symbol" w:hint="default"/>
      </w:rPr>
    </w:lvl>
    <w:lvl w:ilvl="4" w:tplc="E67E236C" w:tentative="1">
      <w:start w:val="1"/>
      <w:numFmt w:val="bullet"/>
      <w:lvlText w:val="o"/>
      <w:lvlJc w:val="left"/>
      <w:pPr>
        <w:ind w:left="18693" w:hanging="360"/>
      </w:pPr>
      <w:rPr>
        <w:rFonts w:ascii="Courier New" w:hAnsi="Courier New" w:cs="Courier New" w:hint="default"/>
      </w:rPr>
    </w:lvl>
    <w:lvl w:ilvl="5" w:tplc="5A34D78E" w:tentative="1">
      <w:start w:val="1"/>
      <w:numFmt w:val="bullet"/>
      <w:lvlText w:val=""/>
      <w:lvlJc w:val="left"/>
      <w:pPr>
        <w:ind w:left="19413" w:hanging="360"/>
      </w:pPr>
      <w:rPr>
        <w:rFonts w:ascii="Wingdings" w:hAnsi="Wingdings" w:hint="default"/>
      </w:rPr>
    </w:lvl>
    <w:lvl w:ilvl="6" w:tplc="EFA2A62A" w:tentative="1">
      <w:start w:val="1"/>
      <w:numFmt w:val="bullet"/>
      <w:lvlText w:val=""/>
      <w:lvlJc w:val="left"/>
      <w:pPr>
        <w:ind w:left="20133" w:hanging="360"/>
      </w:pPr>
      <w:rPr>
        <w:rFonts w:ascii="Symbol" w:hAnsi="Symbol" w:hint="default"/>
      </w:rPr>
    </w:lvl>
    <w:lvl w:ilvl="7" w:tplc="34C4B0D0" w:tentative="1">
      <w:start w:val="1"/>
      <w:numFmt w:val="bullet"/>
      <w:lvlText w:val="o"/>
      <w:lvlJc w:val="left"/>
      <w:pPr>
        <w:ind w:left="20853" w:hanging="360"/>
      </w:pPr>
      <w:rPr>
        <w:rFonts w:ascii="Courier New" w:hAnsi="Courier New" w:cs="Courier New" w:hint="default"/>
      </w:rPr>
    </w:lvl>
    <w:lvl w:ilvl="8" w:tplc="AD5403E8" w:tentative="1">
      <w:start w:val="1"/>
      <w:numFmt w:val="bullet"/>
      <w:lvlText w:val=""/>
      <w:lvlJc w:val="left"/>
      <w:pPr>
        <w:ind w:left="21573" w:hanging="360"/>
      </w:pPr>
      <w:rPr>
        <w:rFonts w:ascii="Wingdings" w:hAnsi="Wingdings" w:hint="default"/>
      </w:rPr>
    </w:lvl>
  </w:abstractNum>
  <w:abstractNum w:abstractNumId="20" w15:restartNumberingAfterBreak="0">
    <w:nsid w:val="5267032E"/>
    <w:multiLevelType w:val="hybridMultilevel"/>
    <w:tmpl w:val="6ED0B31C"/>
    <w:lvl w:ilvl="0" w:tplc="C86A2788">
      <w:start w:val="1"/>
      <w:numFmt w:val="bullet"/>
      <w:lvlText w:val=""/>
      <w:lvlJc w:val="left"/>
      <w:pPr>
        <w:ind w:left="720" w:hanging="360"/>
      </w:pPr>
      <w:rPr>
        <w:rFonts w:ascii="Symbol" w:hAnsi="Symbol" w:hint="default"/>
      </w:rPr>
    </w:lvl>
    <w:lvl w:ilvl="1" w:tplc="D3A61A9C" w:tentative="1">
      <w:start w:val="1"/>
      <w:numFmt w:val="bullet"/>
      <w:lvlText w:val="o"/>
      <w:lvlJc w:val="left"/>
      <w:pPr>
        <w:ind w:left="1440" w:hanging="360"/>
      </w:pPr>
      <w:rPr>
        <w:rFonts w:ascii="Courier New" w:hAnsi="Courier New" w:cs="Courier New" w:hint="default"/>
      </w:rPr>
    </w:lvl>
    <w:lvl w:ilvl="2" w:tplc="338A93A2" w:tentative="1">
      <w:start w:val="1"/>
      <w:numFmt w:val="bullet"/>
      <w:lvlText w:val=""/>
      <w:lvlJc w:val="left"/>
      <w:pPr>
        <w:ind w:left="2160" w:hanging="360"/>
      </w:pPr>
      <w:rPr>
        <w:rFonts w:ascii="Wingdings" w:hAnsi="Wingdings" w:hint="default"/>
      </w:rPr>
    </w:lvl>
    <w:lvl w:ilvl="3" w:tplc="425C4F3C" w:tentative="1">
      <w:start w:val="1"/>
      <w:numFmt w:val="bullet"/>
      <w:lvlText w:val=""/>
      <w:lvlJc w:val="left"/>
      <w:pPr>
        <w:ind w:left="2880" w:hanging="360"/>
      </w:pPr>
      <w:rPr>
        <w:rFonts w:ascii="Symbol" w:hAnsi="Symbol" w:hint="default"/>
      </w:rPr>
    </w:lvl>
    <w:lvl w:ilvl="4" w:tplc="3DC4D290" w:tentative="1">
      <w:start w:val="1"/>
      <w:numFmt w:val="bullet"/>
      <w:lvlText w:val="o"/>
      <w:lvlJc w:val="left"/>
      <w:pPr>
        <w:ind w:left="3600" w:hanging="360"/>
      </w:pPr>
      <w:rPr>
        <w:rFonts w:ascii="Courier New" w:hAnsi="Courier New" w:cs="Courier New" w:hint="default"/>
      </w:rPr>
    </w:lvl>
    <w:lvl w:ilvl="5" w:tplc="5C8A8894" w:tentative="1">
      <w:start w:val="1"/>
      <w:numFmt w:val="bullet"/>
      <w:lvlText w:val=""/>
      <w:lvlJc w:val="left"/>
      <w:pPr>
        <w:ind w:left="4320" w:hanging="360"/>
      </w:pPr>
      <w:rPr>
        <w:rFonts w:ascii="Wingdings" w:hAnsi="Wingdings" w:hint="default"/>
      </w:rPr>
    </w:lvl>
    <w:lvl w:ilvl="6" w:tplc="0BAAC5D4" w:tentative="1">
      <w:start w:val="1"/>
      <w:numFmt w:val="bullet"/>
      <w:lvlText w:val=""/>
      <w:lvlJc w:val="left"/>
      <w:pPr>
        <w:ind w:left="5040" w:hanging="360"/>
      </w:pPr>
      <w:rPr>
        <w:rFonts w:ascii="Symbol" w:hAnsi="Symbol" w:hint="default"/>
      </w:rPr>
    </w:lvl>
    <w:lvl w:ilvl="7" w:tplc="EB7E0046" w:tentative="1">
      <w:start w:val="1"/>
      <w:numFmt w:val="bullet"/>
      <w:lvlText w:val="o"/>
      <w:lvlJc w:val="left"/>
      <w:pPr>
        <w:ind w:left="5760" w:hanging="360"/>
      </w:pPr>
      <w:rPr>
        <w:rFonts w:ascii="Courier New" w:hAnsi="Courier New" w:cs="Courier New" w:hint="default"/>
      </w:rPr>
    </w:lvl>
    <w:lvl w:ilvl="8" w:tplc="FC1C5FBC" w:tentative="1">
      <w:start w:val="1"/>
      <w:numFmt w:val="bullet"/>
      <w:lvlText w:val=""/>
      <w:lvlJc w:val="left"/>
      <w:pPr>
        <w:ind w:left="6480" w:hanging="360"/>
      </w:pPr>
      <w:rPr>
        <w:rFonts w:ascii="Wingdings" w:hAnsi="Wingdings" w:hint="default"/>
      </w:rPr>
    </w:lvl>
  </w:abstractNum>
  <w:abstractNum w:abstractNumId="21" w15:restartNumberingAfterBreak="0">
    <w:nsid w:val="532E5E6E"/>
    <w:multiLevelType w:val="hybridMultilevel"/>
    <w:tmpl w:val="94AE7E08"/>
    <w:lvl w:ilvl="0" w:tplc="BCC0BF9A">
      <w:start w:val="1"/>
      <w:numFmt w:val="bullet"/>
      <w:pStyle w:val="AHPRABulletText"/>
      <w:lvlText w:val=""/>
      <w:lvlJc w:val="left"/>
      <w:pPr>
        <w:tabs>
          <w:tab w:val="num" w:pos="284"/>
        </w:tabs>
        <w:ind w:left="284" w:hanging="284"/>
      </w:pPr>
      <w:rPr>
        <w:rFonts w:ascii="Symbol" w:hAnsi="Symbol" w:hint="default"/>
      </w:rPr>
    </w:lvl>
    <w:lvl w:ilvl="1" w:tplc="1F50C1D0" w:tentative="1">
      <w:start w:val="1"/>
      <w:numFmt w:val="bullet"/>
      <w:lvlText w:val="o"/>
      <w:lvlJc w:val="left"/>
      <w:pPr>
        <w:ind w:left="1440" w:hanging="360"/>
      </w:pPr>
      <w:rPr>
        <w:rFonts w:ascii="Courier" w:hAnsi="Courier" w:hint="default"/>
      </w:rPr>
    </w:lvl>
    <w:lvl w:ilvl="2" w:tplc="D53C0FDA" w:tentative="1">
      <w:start w:val="1"/>
      <w:numFmt w:val="bullet"/>
      <w:lvlText w:val=""/>
      <w:lvlJc w:val="left"/>
      <w:pPr>
        <w:ind w:left="2160" w:hanging="360"/>
      </w:pPr>
      <w:rPr>
        <w:rFonts w:ascii="Symbol" w:hAnsi="Symbol" w:hint="default"/>
      </w:rPr>
    </w:lvl>
    <w:lvl w:ilvl="3" w:tplc="78302CE4" w:tentative="1">
      <w:start w:val="1"/>
      <w:numFmt w:val="bullet"/>
      <w:lvlText w:val=""/>
      <w:lvlJc w:val="left"/>
      <w:pPr>
        <w:ind w:left="2880" w:hanging="360"/>
      </w:pPr>
      <w:rPr>
        <w:rFonts w:ascii="Symbol" w:hAnsi="Symbol" w:hint="default"/>
      </w:rPr>
    </w:lvl>
    <w:lvl w:ilvl="4" w:tplc="82EAAF8E" w:tentative="1">
      <w:start w:val="1"/>
      <w:numFmt w:val="bullet"/>
      <w:lvlText w:val="o"/>
      <w:lvlJc w:val="left"/>
      <w:pPr>
        <w:ind w:left="3600" w:hanging="360"/>
      </w:pPr>
      <w:rPr>
        <w:rFonts w:ascii="Courier" w:hAnsi="Courier" w:hint="default"/>
      </w:rPr>
    </w:lvl>
    <w:lvl w:ilvl="5" w:tplc="8F8EA7AA" w:tentative="1">
      <w:start w:val="1"/>
      <w:numFmt w:val="bullet"/>
      <w:lvlText w:val=""/>
      <w:lvlJc w:val="left"/>
      <w:pPr>
        <w:ind w:left="4320" w:hanging="360"/>
      </w:pPr>
      <w:rPr>
        <w:rFonts w:ascii="Symbol" w:hAnsi="Symbol" w:hint="default"/>
      </w:rPr>
    </w:lvl>
    <w:lvl w:ilvl="6" w:tplc="D2C66C2E" w:tentative="1">
      <w:start w:val="1"/>
      <w:numFmt w:val="bullet"/>
      <w:lvlText w:val=""/>
      <w:lvlJc w:val="left"/>
      <w:pPr>
        <w:ind w:left="5040" w:hanging="360"/>
      </w:pPr>
      <w:rPr>
        <w:rFonts w:ascii="Symbol" w:hAnsi="Symbol" w:hint="default"/>
      </w:rPr>
    </w:lvl>
    <w:lvl w:ilvl="7" w:tplc="B624F824" w:tentative="1">
      <w:start w:val="1"/>
      <w:numFmt w:val="bullet"/>
      <w:lvlText w:val="o"/>
      <w:lvlJc w:val="left"/>
      <w:pPr>
        <w:ind w:left="5760" w:hanging="360"/>
      </w:pPr>
      <w:rPr>
        <w:rFonts w:ascii="Courier" w:hAnsi="Courier" w:hint="default"/>
      </w:rPr>
    </w:lvl>
    <w:lvl w:ilvl="8" w:tplc="37A2CB56" w:tentative="1">
      <w:start w:val="1"/>
      <w:numFmt w:val="bullet"/>
      <w:lvlText w:val=""/>
      <w:lvlJc w:val="left"/>
      <w:pPr>
        <w:ind w:left="6480" w:hanging="360"/>
      </w:pPr>
      <w:rPr>
        <w:rFonts w:ascii="Symbol" w:hAnsi="Symbol" w:hint="default"/>
      </w:rPr>
    </w:lvl>
  </w:abstractNum>
  <w:abstractNum w:abstractNumId="22" w15:restartNumberingAfterBreak="0">
    <w:nsid w:val="5B657E97"/>
    <w:multiLevelType w:val="multilevel"/>
    <w:tmpl w:val="7F2880D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0410BF"/>
    <w:multiLevelType w:val="multilevel"/>
    <w:tmpl w:val="5C7A0EF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6" w15:restartNumberingAfterBreak="0">
    <w:nsid w:val="6ACC55E0"/>
    <w:multiLevelType w:val="hybridMultilevel"/>
    <w:tmpl w:val="C96835DA"/>
    <w:lvl w:ilvl="0" w:tplc="B68A67D4">
      <w:start w:val="1"/>
      <w:numFmt w:val="bullet"/>
      <w:pStyle w:val="AHPRABulletlevel3"/>
      <w:lvlText w:val="o"/>
      <w:lvlJc w:val="left"/>
      <w:pPr>
        <w:ind w:left="1440" w:hanging="360"/>
      </w:pPr>
      <w:rPr>
        <w:rFonts w:ascii="Courier New" w:hAnsi="Courier New" w:cs="Courier New" w:hint="default"/>
      </w:rPr>
    </w:lvl>
    <w:lvl w:ilvl="1" w:tplc="9F9EE7CC" w:tentative="1">
      <w:start w:val="1"/>
      <w:numFmt w:val="bullet"/>
      <w:lvlText w:val="o"/>
      <w:lvlJc w:val="left"/>
      <w:pPr>
        <w:ind w:left="2160" w:hanging="360"/>
      </w:pPr>
      <w:rPr>
        <w:rFonts w:ascii="Courier New" w:hAnsi="Courier New" w:cs="Courier New" w:hint="default"/>
      </w:rPr>
    </w:lvl>
    <w:lvl w:ilvl="2" w:tplc="185A9858" w:tentative="1">
      <w:start w:val="1"/>
      <w:numFmt w:val="bullet"/>
      <w:lvlText w:val=""/>
      <w:lvlJc w:val="left"/>
      <w:pPr>
        <w:ind w:left="2880" w:hanging="360"/>
      </w:pPr>
      <w:rPr>
        <w:rFonts w:ascii="Wingdings" w:hAnsi="Wingdings" w:hint="default"/>
      </w:rPr>
    </w:lvl>
    <w:lvl w:ilvl="3" w:tplc="F2B0124E" w:tentative="1">
      <w:start w:val="1"/>
      <w:numFmt w:val="bullet"/>
      <w:lvlText w:val=""/>
      <w:lvlJc w:val="left"/>
      <w:pPr>
        <w:ind w:left="3600" w:hanging="360"/>
      </w:pPr>
      <w:rPr>
        <w:rFonts w:ascii="Symbol" w:hAnsi="Symbol" w:hint="default"/>
      </w:rPr>
    </w:lvl>
    <w:lvl w:ilvl="4" w:tplc="925C6A9E" w:tentative="1">
      <w:start w:val="1"/>
      <w:numFmt w:val="bullet"/>
      <w:lvlText w:val="o"/>
      <w:lvlJc w:val="left"/>
      <w:pPr>
        <w:ind w:left="4320" w:hanging="360"/>
      </w:pPr>
      <w:rPr>
        <w:rFonts w:ascii="Courier New" w:hAnsi="Courier New" w:cs="Courier New" w:hint="default"/>
      </w:rPr>
    </w:lvl>
    <w:lvl w:ilvl="5" w:tplc="BE404BEA" w:tentative="1">
      <w:start w:val="1"/>
      <w:numFmt w:val="bullet"/>
      <w:lvlText w:val=""/>
      <w:lvlJc w:val="left"/>
      <w:pPr>
        <w:ind w:left="5040" w:hanging="360"/>
      </w:pPr>
      <w:rPr>
        <w:rFonts w:ascii="Wingdings" w:hAnsi="Wingdings" w:hint="default"/>
      </w:rPr>
    </w:lvl>
    <w:lvl w:ilvl="6" w:tplc="A07E77E6" w:tentative="1">
      <w:start w:val="1"/>
      <w:numFmt w:val="bullet"/>
      <w:lvlText w:val=""/>
      <w:lvlJc w:val="left"/>
      <w:pPr>
        <w:ind w:left="5760" w:hanging="360"/>
      </w:pPr>
      <w:rPr>
        <w:rFonts w:ascii="Symbol" w:hAnsi="Symbol" w:hint="default"/>
      </w:rPr>
    </w:lvl>
    <w:lvl w:ilvl="7" w:tplc="3454D746" w:tentative="1">
      <w:start w:val="1"/>
      <w:numFmt w:val="bullet"/>
      <w:lvlText w:val="o"/>
      <w:lvlJc w:val="left"/>
      <w:pPr>
        <w:ind w:left="6480" w:hanging="360"/>
      </w:pPr>
      <w:rPr>
        <w:rFonts w:ascii="Courier New" w:hAnsi="Courier New" w:cs="Courier New" w:hint="default"/>
      </w:rPr>
    </w:lvl>
    <w:lvl w:ilvl="8" w:tplc="1B724364" w:tentative="1">
      <w:start w:val="1"/>
      <w:numFmt w:val="bullet"/>
      <w:lvlText w:val=""/>
      <w:lvlJc w:val="left"/>
      <w:pPr>
        <w:ind w:left="7200" w:hanging="360"/>
      </w:pPr>
      <w:rPr>
        <w:rFonts w:ascii="Wingdings" w:hAnsi="Wingdings" w:hint="default"/>
      </w:rPr>
    </w:lvl>
  </w:abstractNum>
  <w:abstractNum w:abstractNumId="27" w15:restartNumberingAfterBreak="0">
    <w:nsid w:val="7C2610BB"/>
    <w:multiLevelType w:val="hybridMultilevel"/>
    <w:tmpl w:val="FF68D3AC"/>
    <w:lvl w:ilvl="0" w:tplc="958A6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8508268E"/>
    <w:numStyleLink w:val="AHPRANumberedlist"/>
  </w:abstractNum>
  <w:num w:numId="1">
    <w:abstractNumId w:val="26"/>
  </w:num>
  <w:num w:numId="2">
    <w:abstractNumId w:val="19"/>
  </w:num>
  <w:num w:numId="3">
    <w:abstractNumId w:val="11"/>
  </w:num>
  <w:num w:numId="4">
    <w:abstractNumId w:val="13"/>
  </w:num>
  <w:num w:numId="5">
    <w:abstractNumId w:val="27"/>
  </w:num>
  <w:num w:numId="6">
    <w:abstractNumId w:val="12"/>
  </w:num>
  <w:num w:numId="7">
    <w:abstractNumId w:val="28"/>
  </w:num>
  <w:num w:numId="8">
    <w:abstractNumId w:val="24"/>
  </w:num>
  <w:num w:numId="9">
    <w:abstractNumId w:val="22"/>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8"/>
  </w:num>
  <w:num w:numId="23">
    <w:abstractNumId w:val="21"/>
  </w:num>
  <w:num w:numId="24">
    <w:abstractNumId w:val="18"/>
  </w:num>
  <w:num w:numId="25">
    <w:abstractNumId w:val="19"/>
  </w:num>
  <w:num w:numId="26">
    <w:abstractNumId w:val="26"/>
  </w:num>
  <w:num w:numId="27">
    <w:abstractNumId w:val="10"/>
  </w:num>
  <w:num w:numId="28">
    <w:abstractNumId w:val="23"/>
  </w:num>
  <w:num w:numId="29">
    <w:abstractNumId w:val="15"/>
  </w:num>
  <w:num w:numId="30">
    <w:abstractNumId w:val="15"/>
  </w:num>
  <w:num w:numId="31">
    <w:abstractNumId w:val="15"/>
  </w:num>
  <w:num w:numId="32">
    <w:abstractNumId w:val="25"/>
  </w:num>
  <w:num w:numId="33">
    <w:abstractNumId w:val="16"/>
  </w:num>
  <w:num w:numId="34">
    <w:abstractNumId w:val="13"/>
  </w:num>
  <w:num w:numId="35">
    <w:abstractNumId w:val="11"/>
  </w:num>
  <w:num w:numId="36">
    <w:abstractNumId w:val="14"/>
  </w:num>
  <w:num w:numId="37">
    <w:abstractNumId w:val="14"/>
  </w:num>
  <w:num w:numId="38">
    <w:abstractNumId w:val="14"/>
  </w:num>
  <w:num w:numId="39">
    <w:abstractNumId w:val="12"/>
  </w:num>
  <w:num w:numId="40">
    <w:abstractNumId w:val="25"/>
  </w:num>
  <w:num w:numId="41">
    <w:abstractNumId w:val="12"/>
  </w:num>
  <w:num w:numId="42">
    <w:abstractNumId w:val="12"/>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4B2A4E"/>
    <w:rsid w:val="00000033"/>
    <w:rsid w:val="00003E0C"/>
    <w:rsid w:val="00006922"/>
    <w:rsid w:val="00010C4B"/>
    <w:rsid w:val="000334D7"/>
    <w:rsid w:val="000502E4"/>
    <w:rsid w:val="00071439"/>
    <w:rsid w:val="0007536F"/>
    <w:rsid w:val="000817B6"/>
    <w:rsid w:val="000945FB"/>
    <w:rsid w:val="00095FAE"/>
    <w:rsid w:val="000A4C8B"/>
    <w:rsid w:val="000A6BF7"/>
    <w:rsid w:val="000A7295"/>
    <w:rsid w:val="000B08E9"/>
    <w:rsid w:val="000B1523"/>
    <w:rsid w:val="000D3812"/>
    <w:rsid w:val="000D613E"/>
    <w:rsid w:val="000E36B3"/>
    <w:rsid w:val="000E6E60"/>
    <w:rsid w:val="000E719B"/>
    <w:rsid w:val="000E7E28"/>
    <w:rsid w:val="000F009A"/>
    <w:rsid w:val="000F027E"/>
    <w:rsid w:val="000F5D90"/>
    <w:rsid w:val="001004E1"/>
    <w:rsid w:val="0010139F"/>
    <w:rsid w:val="00103F1C"/>
    <w:rsid w:val="00104EFD"/>
    <w:rsid w:val="00120711"/>
    <w:rsid w:val="00144DEF"/>
    <w:rsid w:val="001506FE"/>
    <w:rsid w:val="00153BCF"/>
    <w:rsid w:val="00192A33"/>
    <w:rsid w:val="00194C45"/>
    <w:rsid w:val="00196F14"/>
    <w:rsid w:val="001A6C6B"/>
    <w:rsid w:val="001B279D"/>
    <w:rsid w:val="001B798D"/>
    <w:rsid w:val="001C425C"/>
    <w:rsid w:val="001C71A5"/>
    <w:rsid w:val="001D17B5"/>
    <w:rsid w:val="001D4981"/>
    <w:rsid w:val="001E1E31"/>
    <w:rsid w:val="001E2849"/>
    <w:rsid w:val="001E4612"/>
    <w:rsid w:val="001E4A94"/>
    <w:rsid w:val="001E5621"/>
    <w:rsid w:val="001F54D0"/>
    <w:rsid w:val="001F68EC"/>
    <w:rsid w:val="00201C01"/>
    <w:rsid w:val="00204726"/>
    <w:rsid w:val="00205CED"/>
    <w:rsid w:val="00220A3B"/>
    <w:rsid w:val="002231C8"/>
    <w:rsid w:val="00224708"/>
    <w:rsid w:val="0024451E"/>
    <w:rsid w:val="00246536"/>
    <w:rsid w:val="00263ABD"/>
    <w:rsid w:val="00267352"/>
    <w:rsid w:val="002708F2"/>
    <w:rsid w:val="00273D95"/>
    <w:rsid w:val="0027644D"/>
    <w:rsid w:val="0027712B"/>
    <w:rsid w:val="0028013F"/>
    <w:rsid w:val="002851A4"/>
    <w:rsid w:val="00293816"/>
    <w:rsid w:val="00295B44"/>
    <w:rsid w:val="002A0C96"/>
    <w:rsid w:val="002A24D1"/>
    <w:rsid w:val="002B2D48"/>
    <w:rsid w:val="002C08FB"/>
    <w:rsid w:val="002C0BBC"/>
    <w:rsid w:val="002C3085"/>
    <w:rsid w:val="002C34EA"/>
    <w:rsid w:val="002D5278"/>
    <w:rsid w:val="002E3447"/>
    <w:rsid w:val="003008A3"/>
    <w:rsid w:val="003039A2"/>
    <w:rsid w:val="00303BE1"/>
    <w:rsid w:val="00305AFC"/>
    <w:rsid w:val="00305B6E"/>
    <w:rsid w:val="003160FE"/>
    <w:rsid w:val="00330224"/>
    <w:rsid w:val="003354E4"/>
    <w:rsid w:val="00344CD5"/>
    <w:rsid w:val="003560E8"/>
    <w:rsid w:val="00361DD5"/>
    <w:rsid w:val="003808A1"/>
    <w:rsid w:val="00381A8E"/>
    <w:rsid w:val="00382F3A"/>
    <w:rsid w:val="00393516"/>
    <w:rsid w:val="00393DFB"/>
    <w:rsid w:val="003A12C9"/>
    <w:rsid w:val="003B0628"/>
    <w:rsid w:val="003C46C2"/>
    <w:rsid w:val="003D03EE"/>
    <w:rsid w:val="003D6DBD"/>
    <w:rsid w:val="003E00B5"/>
    <w:rsid w:val="003E3268"/>
    <w:rsid w:val="003F2F06"/>
    <w:rsid w:val="0040172B"/>
    <w:rsid w:val="00405C0A"/>
    <w:rsid w:val="00410235"/>
    <w:rsid w:val="00414F2C"/>
    <w:rsid w:val="004200F9"/>
    <w:rsid w:val="0043111F"/>
    <w:rsid w:val="00437428"/>
    <w:rsid w:val="00440B8D"/>
    <w:rsid w:val="00450B34"/>
    <w:rsid w:val="0045190A"/>
    <w:rsid w:val="00452D29"/>
    <w:rsid w:val="0045740A"/>
    <w:rsid w:val="004606A7"/>
    <w:rsid w:val="00464E94"/>
    <w:rsid w:val="004767C2"/>
    <w:rsid w:val="004A3BBD"/>
    <w:rsid w:val="004A5E5D"/>
    <w:rsid w:val="004B2A4E"/>
    <w:rsid w:val="004B3243"/>
    <w:rsid w:val="004B36DC"/>
    <w:rsid w:val="004B3B50"/>
    <w:rsid w:val="004B438E"/>
    <w:rsid w:val="004B747B"/>
    <w:rsid w:val="004D270B"/>
    <w:rsid w:val="004D7537"/>
    <w:rsid w:val="004E6B61"/>
    <w:rsid w:val="004F572D"/>
    <w:rsid w:val="004F5C05"/>
    <w:rsid w:val="00501F47"/>
    <w:rsid w:val="00516EF2"/>
    <w:rsid w:val="00531C63"/>
    <w:rsid w:val="00533D0E"/>
    <w:rsid w:val="00535767"/>
    <w:rsid w:val="0053749F"/>
    <w:rsid w:val="00546B56"/>
    <w:rsid w:val="00553A4C"/>
    <w:rsid w:val="00554335"/>
    <w:rsid w:val="005565CE"/>
    <w:rsid w:val="005708AE"/>
    <w:rsid w:val="00571E0B"/>
    <w:rsid w:val="00573163"/>
    <w:rsid w:val="00597D97"/>
    <w:rsid w:val="005A0FA9"/>
    <w:rsid w:val="005A48E0"/>
    <w:rsid w:val="005B7F1F"/>
    <w:rsid w:val="005C296B"/>
    <w:rsid w:val="005C3CDB"/>
    <w:rsid w:val="005C5932"/>
    <w:rsid w:val="005C6817"/>
    <w:rsid w:val="005C6F14"/>
    <w:rsid w:val="005E1B15"/>
    <w:rsid w:val="005F2169"/>
    <w:rsid w:val="005F2BDE"/>
    <w:rsid w:val="005F51FB"/>
    <w:rsid w:val="00616043"/>
    <w:rsid w:val="00623CC9"/>
    <w:rsid w:val="00626644"/>
    <w:rsid w:val="00640B2C"/>
    <w:rsid w:val="006476D9"/>
    <w:rsid w:val="00650A78"/>
    <w:rsid w:val="00657642"/>
    <w:rsid w:val="00667CAD"/>
    <w:rsid w:val="00670F48"/>
    <w:rsid w:val="00672A98"/>
    <w:rsid w:val="00677399"/>
    <w:rsid w:val="006805D6"/>
    <w:rsid w:val="00681D5E"/>
    <w:rsid w:val="00683E00"/>
    <w:rsid w:val="00691253"/>
    <w:rsid w:val="0069638D"/>
    <w:rsid w:val="006C0257"/>
    <w:rsid w:val="006C0E29"/>
    <w:rsid w:val="006C2C07"/>
    <w:rsid w:val="006D30FE"/>
    <w:rsid w:val="006D3757"/>
    <w:rsid w:val="006D45FD"/>
    <w:rsid w:val="006D6D35"/>
    <w:rsid w:val="006E01C1"/>
    <w:rsid w:val="006E44BA"/>
    <w:rsid w:val="006F0DAB"/>
    <w:rsid w:val="006F2735"/>
    <w:rsid w:val="006F585B"/>
    <w:rsid w:val="006F7348"/>
    <w:rsid w:val="006F796D"/>
    <w:rsid w:val="0070155F"/>
    <w:rsid w:val="00704D10"/>
    <w:rsid w:val="00705F33"/>
    <w:rsid w:val="00711301"/>
    <w:rsid w:val="00713A7E"/>
    <w:rsid w:val="00722628"/>
    <w:rsid w:val="0072358E"/>
    <w:rsid w:val="00725F23"/>
    <w:rsid w:val="007316EA"/>
    <w:rsid w:val="00735191"/>
    <w:rsid w:val="00735843"/>
    <w:rsid w:val="007372A4"/>
    <w:rsid w:val="00741B04"/>
    <w:rsid w:val="00757837"/>
    <w:rsid w:val="0076115C"/>
    <w:rsid w:val="007663CA"/>
    <w:rsid w:val="007664F3"/>
    <w:rsid w:val="00767F24"/>
    <w:rsid w:val="00790DEA"/>
    <w:rsid w:val="0079197C"/>
    <w:rsid w:val="007953FD"/>
    <w:rsid w:val="007A35B9"/>
    <w:rsid w:val="007A6485"/>
    <w:rsid w:val="007B77D6"/>
    <w:rsid w:val="007C0B6E"/>
    <w:rsid w:val="007C15E1"/>
    <w:rsid w:val="007C19C9"/>
    <w:rsid w:val="007C2E55"/>
    <w:rsid w:val="007D3A15"/>
    <w:rsid w:val="007D4836"/>
    <w:rsid w:val="007D5988"/>
    <w:rsid w:val="007D6CFE"/>
    <w:rsid w:val="007E2C84"/>
    <w:rsid w:val="007E3545"/>
    <w:rsid w:val="007E7837"/>
    <w:rsid w:val="007F0095"/>
    <w:rsid w:val="008007C0"/>
    <w:rsid w:val="00801D9E"/>
    <w:rsid w:val="0081058C"/>
    <w:rsid w:val="00810F7A"/>
    <w:rsid w:val="00815D4D"/>
    <w:rsid w:val="00823AB7"/>
    <w:rsid w:val="008338F7"/>
    <w:rsid w:val="00836397"/>
    <w:rsid w:val="0084183D"/>
    <w:rsid w:val="00845054"/>
    <w:rsid w:val="00852D1C"/>
    <w:rsid w:val="00856147"/>
    <w:rsid w:val="00860F40"/>
    <w:rsid w:val="008615C9"/>
    <w:rsid w:val="00864020"/>
    <w:rsid w:val="00873C08"/>
    <w:rsid w:val="00875FE3"/>
    <w:rsid w:val="00892556"/>
    <w:rsid w:val="00892B3A"/>
    <w:rsid w:val="008979D5"/>
    <w:rsid w:val="008A4C3B"/>
    <w:rsid w:val="008B2AD7"/>
    <w:rsid w:val="008B54DD"/>
    <w:rsid w:val="008C355B"/>
    <w:rsid w:val="008D6B7E"/>
    <w:rsid w:val="008D7845"/>
    <w:rsid w:val="008E021A"/>
    <w:rsid w:val="008F4B4F"/>
    <w:rsid w:val="00901B7B"/>
    <w:rsid w:val="00902C84"/>
    <w:rsid w:val="00903142"/>
    <w:rsid w:val="009031EA"/>
    <w:rsid w:val="00923B23"/>
    <w:rsid w:val="00926259"/>
    <w:rsid w:val="00933374"/>
    <w:rsid w:val="00937ED0"/>
    <w:rsid w:val="00941C87"/>
    <w:rsid w:val="00942C26"/>
    <w:rsid w:val="00952797"/>
    <w:rsid w:val="00953DEF"/>
    <w:rsid w:val="00975AA1"/>
    <w:rsid w:val="009777D3"/>
    <w:rsid w:val="00980CAA"/>
    <w:rsid w:val="0098204B"/>
    <w:rsid w:val="0098290A"/>
    <w:rsid w:val="00983D60"/>
    <w:rsid w:val="009859E6"/>
    <w:rsid w:val="009936B9"/>
    <w:rsid w:val="0099508D"/>
    <w:rsid w:val="009A0A5D"/>
    <w:rsid w:val="009B58B7"/>
    <w:rsid w:val="009C6933"/>
    <w:rsid w:val="009E0330"/>
    <w:rsid w:val="009E1EEE"/>
    <w:rsid w:val="009E6FA2"/>
    <w:rsid w:val="009F1B7F"/>
    <w:rsid w:val="009F2C17"/>
    <w:rsid w:val="00A029A8"/>
    <w:rsid w:val="00A04C7A"/>
    <w:rsid w:val="00A058E5"/>
    <w:rsid w:val="00A10C1A"/>
    <w:rsid w:val="00A1660D"/>
    <w:rsid w:val="00A20417"/>
    <w:rsid w:val="00A2072E"/>
    <w:rsid w:val="00A237BB"/>
    <w:rsid w:val="00A27F29"/>
    <w:rsid w:val="00A32EBD"/>
    <w:rsid w:val="00A365A1"/>
    <w:rsid w:val="00A410B7"/>
    <w:rsid w:val="00A458ED"/>
    <w:rsid w:val="00A4648A"/>
    <w:rsid w:val="00A50013"/>
    <w:rsid w:val="00A509AB"/>
    <w:rsid w:val="00A5259C"/>
    <w:rsid w:val="00A56C62"/>
    <w:rsid w:val="00A61BCD"/>
    <w:rsid w:val="00A71E4A"/>
    <w:rsid w:val="00A75707"/>
    <w:rsid w:val="00A82078"/>
    <w:rsid w:val="00A831B5"/>
    <w:rsid w:val="00A838C8"/>
    <w:rsid w:val="00A91C42"/>
    <w:rsid w:val="00A9516B"/>
    <w:rsid w:val="00A96DC3"/>
    <w:rsid w:val="00A9780A"/>
    <w:rsid w:val="00AA00AF"/>
    <w:rsid w:val="00AA2FC9"/>
    <w:rsid w:val="00AA42BC"/>
    <w:rsid w:val="00AA7AC9"/>
    <w:rsid w:val="00AB283D"/>
    <w:rsid w:val="00AB4DB6"/>
    <w:rsid w:val="00AC0415"/>
    <w:rsid w:val="00AC0445"/>
    <w:rsid w:val="00AD312E"/>
    <w:rsid w:val="00AE3EAF"/>
    <w:rsid w:val="00AE579C"/>
    <w:rsid w:val="00B024B0"/>
    <w:rsid w:val="00B03FB8"/>
    <w:rsid w:val="00B12BAC"/>
    <w:rsid w:val="00B166B9"/>
    <w:rsid w:val="00B17ACF"/>
    <w:rsid w:val="00B24F1F"/>
    <w:rsid w:val="00B26440"/>
    <w:rsid w:val="00B32284"/>
    <w:rsid w:val="00B34EDA"/>
    <w:rsid w:val="00B361D8"/>
    <w:rsid w:val="00B37020"/>
    <w:rsid w:val="00B46F29"/>
    <w:rsid w:val="00B51748"/>
    <w:rsid w:val="00B57198"/>
    <w:rsid w:val="00B664A0"/>
    <w:rsid w:val="00B6713F"/>
    <w:rsid w:val="00B67A02"/>
    <w:rsid w:val="00B7186B"/>
    <w:rsid w:val="00B7762E"/>
    <w:rsid w:val="00B85023"/>
    <w:rsid w:val="00BA2456"/>
    <w:rsid w:val="00BA4240"/>
    <w:rsid w:val="00BA469B"/>
    <w:rsid w:val="00BA6F40"/>
    <w:rsid w:val="00BB1A20"/>
    <w:rsid w:val="00BB2FEF"/>
    <w:rsid w:val="00BB4A5B"/>
    <w:rsid w:val="00BC2889"/>
    <w:rsid w:val="00BC63F4"/>
    <w:rsid w:val="00BD00BA"/>
    <w:rsid w:val="00BD2721"/>
    <w:rsid w:val="00BD68DC"/>
    <w:rsid w:val="00BF2534"/>
    <w:rsid w:val="00BF79DC"/>
    <w:rsid w:val="00C0048F"/>
    <w:rsid w:val="00C0793A"/>
    <w:rsid w:val="00C10FEE"/>
    <w:rsid w:val="00C175EF"/>
    <w:rsid w:val="00C22A75"/>
    <w:rsid w:val="00C33925"/>
    <w:rsid w:val="00C35DE1"/>
    <w:rsid w:val="00C3795C"/>
    <w:rsid w:val="00C4082A"/>
    <w:rsid w:val="00C43196"/>
    <w:rsid w:val="00C43E21"/>
    <w:rsid w:val="00C45C6E"/>
    <w:rsid w:val="00C524AA"/>
    <w:rsid w:val="00C540AA"/>
    <w:rsid w:val="00C54689"/>
    <w:rsid w:val="00C657B9"/>
    <w:rsid w:val="00C80113"/>
    <w:rsid w:val="00C81B3A"/>
    <w:rsid w:val="00C844D3"/>
    <w:rsid w:val="00C8721A"/>
    <w:rsid w:val="00C87E4C"/>
    <w:rsid w:val="00C96D34"/>
    <w:rsid w:val="00CA0CB4"/>
    <w:rsid w:val="00CA166E"/>
    <w:rsid w:val="00CB3079"/>
    <w:rsid w:val="00CB6C08"/>
    <w:rsid w:val="00CD0DCA"/>
    <w:rsid w:val="00CD19E6"/>
    <w:rsid w:val="00CD5405"/>
    <w:rsid w:val="00CD7D53"/>
    <w:rsid w:val="00D106BC"/>
    <w:rsid w:val="00D12F61"/>
    <w:rsid w:val="00D201C6"/>
    <w:rsid w:val="00D21774"/>
    <w:rsid w:val="00D438C3"/>
    <w:rsid w:val="00D44D2B"/>
    <w:rsid w:val="00D460DA"/>
    <w:rsid w:val="00D50355"/>
    <w:rsid w:val="00D54128"/>
    <w:rsid w:val="00D62690"/>
    <w:rsid w:val="00D6371B"/>
    <w:rsid w:val="00D638E0"/>
    <w:rsid w:val="00D65E8A"/>
    <w:rsid w:val="00D716BA"/>
    <w:rsid w:val="00D8404D"/>
    <w:rsid w:val="00D87C12"/>
    <w:rsid w:val="00D92B80"/>
    <w:rsid w:val="00DA00C3"/>
    <w:rsid w:val="00DA39AA"/>
    <w:rsid w:val="00DB0A73"/>
    <w:rsid w:val="00DC2952"/>
    <w:rsid w:val="00DD2557"/>
    <w:rsid w:val="00DE16F7"/>
    <w:rsid w:val="00DF1AB7"/>
    <w:rsid w:val="00DF5DC1"/>
    <w:rsid w:val="00E01030"/>
    <w:rsid w:val="00E01B91"/>
    <w:rsid w:val="00E07C02"/>
    <w:rsid w:val="00E12B06"/>
    <w:rsid w:val="00E15BF6"/>
    <w:rsid w:val="00E16B83"/>
    <w:rsid w:val="00E37A55"/>
    <w:rsid w:val="00E46122"/>
    <w:rsid w:val="00E54005"/>
    <w:rsid w:val="00E60092"/>
    <w:rsid w:val="00E715E9"/>
    <w:rsid w:val="00E71CB9"/>
    <w:rsid w:val="00E73698"/>
    <w:rsid w:val="00E77E23"/>
    <w:rsid w:val="00E8251C"/>
    <w:rsid w:val="00E844A0"/>
    <w:rsid w:val="00E868A9"/>
    <w:rsid w:val="00EA7766"/>
    <w:rsid w:val="00EB22A7"/>
    <w:rsid w:val="00EC1B72"/>
    <w:rsid w:val="00EC2949"/>
    <w:rsid w:val="00ED1D00"/>
    <w:rsid w:val="00EE4685"/>
    <w:rsid w:val="00EF27C1"/>
    <w:rsid w:val="00F13ED2"/>
    <w:rsid w:val="00F27ACB"/>
    <w:rsid w:val="00F3616F"/>
    <w:rsid w:val="00F505CB"/>
    <w:rsid w:val="00F51875"/>
    <w:rsid w:val="00F54217"/>
    <w:rsid w:val="00F6618F"/>
    <w:rsid w:val="00F66921"/>
    <w:rsid w:val="00F70DD5"/>
    <w:rsid w:val="00F73165"/>
    <w:rsid w:val="00F77B34"/>
    <w:rsid w:val="00F8176C"/>
    <w:rsid w:val="00F82206"/>
    <w:rsid w:val="00F8289A"/>
    <w:rsid w:val="00F90BCE"/>
    <w:rsid w:val="00F97880"/>
    <w:rsid w:val="00FA29C4"/>
    <w:rsid w:val="00FA5687"/>
    <w:rsid w:val="00FB7894"/>
    <w:rsid w:val="00FC2881"/>
    <w:rsid w:val="00FC2A46"/>
    <w:rsid w:val="00FD30A7"/>
    <w:rsid w:val="00FD776B"/>
    <w:rsid w:val="00FD7DC1"/>
    <w:rsid w:val="00FE1540"/>
    <w:rsid w:val="00FE2CBD"/>
    <w:rsid w:val="00FE3F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15:docId w15:val="{14B40787-7237-4D85-80A8-C800DBF9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BD2721"/>
    <w:pPr>
      <w:spacing w:before="200"/>
      <w:outlineLvl w:val="0"/>
    </w:pPr>
    <w:rPr>
      <w:rFonts w:cs="Arial"/>
      <w:color w:val="00BCE4"/>
      <w:sz w:val="32"/>
      <w:szCs w:val="52"/>
      <w:lang w:val="en-US"/>
    </w:rPr>
  </w:style>
  <w:style w:type="paragraph" w:customStyle="1" w:styleId="AHPRAbody">
    <w:name w:val="AHPRA body"/>
    <w:basedOn w:val="Normal"/>
    <w:link w:val="AHPRAbodyChar"/>
    <w:uiPriority w:val="99"/>
    <w:qFormat/>
    <w:rsid w:val="00BD2721"/>
    <w:rPr>
      <w:sz w:val="20"/>
      <w:lang w:eastAsia="en-AU"/>
    </w:rPr>
  </w:style>
  <w:style w:type="paragraph" w:customStyle="1" w:styleId="AHPRAbodybold">
    <w:name w:val="AHPRA body bold"/>
    <w:basedOn w:val="AHPRAbody"/>
    <w:link w:val="AHPRAbodyboldChar"/>
    <w:rsid w:val="00BD2721"/>
    <w:rPr>
      <w:b/>
    </w:rPr>
  </w:style>
  <w:style w:type="paragraph" w:customStyle="1" w:styleId="AHPRADocumentsubheading">
    <w:name w:val="AHPRA Document subheading"/>
    <w:basedOn w:val="Normal"/>
    <w:next w:val="Normal"/>
    <w:qFormat/>
    <w:rsid w:val="00BD2721"/>
    <w:pPr>
      <w:outlineLvl w:val="0"/>
    </w:pPr>
    <w:rPr>
      <w:rFonts w:cs="Arial"/>
      <w:color w:val="5F5E62"/>
      <w:sz w:val="28"/>
      <w:szCs w:val="52"/>
      <w:lang w:val="en-US"/>
    </w:rPr>
  </w:style>
  <w:style w:type="paragraph" w:customStyle="1" w:styleId="AHPRASubheading">
    <w:name w:val="AHPRA Subheading"/>
    <w:basedOn w:val="Normal"/>
    <w:link w:val="AHPRASubheadingChar"/>
    <w:qFormat/>
    <w:rsid w:val="00BD2721"/>
    <w:pPr>
      <w:spacing w:before="200"/>
    </w:pPr>
    <w:rPr>
      <w:b/>
      <w:color w:val="007DC3"/>
      <w:sz w:val="20"/>
      <w:lang w:eastAsia="en-AU"/>
    </w:rPr>
  </w:style>
  <w:style w:type="paragraph" w:customStyle="1" w:styleId="AHPRASubheadinglevel2">
    <w:name w:val="AHPRA Subheading level 2"/>
    <w:basedOn w:val="AHPRASubheading"/>
    <w:next w:val="Normal"/>
    <w:rsid w:val="00BD2721"/>
    <w:rPr>
      <w:color w:val="auto"/>
    </w:rPr>
  </w:style>
  <w:style w:type="paragraph" w:customStyle="1" w:styleId="AHPRASubheadinglevel3">
    <w:name w:val="AHPRA Subheading level 3"/>
    <w:basedOn w:val="AHPRASubheading"/>
    <w:next w:val="Normal"/>
    <w:rsid w:val="00BD2721"/>
    <w:rPr>
      <w:b w:val="0"/>
    </w:rPr>
  </w:style>
  <w:style w:type="paragraph" w:customStyle="1" w:styleId="AHPRABulletlevel1">
    <w:name w:val="AHPRA Bullet level 1"/>
    <w:basedOn w:val="Normal"/>
    <w:qFormat/>
    <w:rsid w:val="00BD2721"/>
    <w:pPr>
      <w:numPr>
        <w:numId w:val="25"/>
      </w:numPr>
      <w:spacing w:after="0"/>
      <w:ind w:left="369" w:hanging="369"/>
    </w:pPr>
    <w:rPr>
      <w:sz w:val="20"/>
      <w:lang w:val="en-US"/>
    </w:rPr>
  </w:style>
  <w:style w:type="paragraph" w:customStyle="1" w:styleId="AHPRABulletlevel2">
    <w:name w:val="AHPRA Bullet level 2"/>
    <w:basedOn w:val="AHPRABulletlevel1"/>
    <w:rsid w:val="00BD2721"/>
    <w:pPr>
      <w:numPr>
        <w:numId w:val="0"/>
      </w:numPr>
    </w:pPr>
  </w:style>
  <w:style w:type="paragraph" w:customStyle="1" w:styleId="AHPRABulletlevel3">
    <w:name w:val="AHPRA Bullet level 3"/>
    <w:basedOn w:val="AHPRABulletlevel2"/>
    <w:rsid w:val="00BD2721"/>
    <w:pPr>
      <w:numPr>
        <w:numId w:val="26"/>
      </w:numPr>
    </w:pPr>
  </w:style>
  <w:style w:type="paragraph" w:customStyle="1" w:styleId="AHPRANumberedlistlevel2">
    <w:name w:val="AHPRA Numbered list level 2"/>
    <w:basedOn w:val="AHPRANumberedlistlevel1"/>
    <w:rsid w:val="00BD2721"/>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BD2721"/>
    <w:pPr>
      <w:numPr>
        <w:numId w:val="42"/>
      </w:numPr>
    </w:pPr>
    <w:rPr>
      <w:lang w:eastAsia="en-US"/>
    </w:rPr>
  </w:style>
  <w:style w:type="paragraph" w:customStyle="1" w:styleId="AHPRANumberedlistlevel2withspace">
    <w:name w:val="AHPRA Numbered list level 2 with space"/>
    <w:basedOn w:val="AHPRANumberedlistlevel2"/>
    <w:next w:val="AHPRAbody"/>
    <w:rsid w:val="00BD2721"/>
    <w:pPr>
      <w:numPr>
        <w:ilvl w:val="0"/>
        <w:numId w:val="0"/>
      </w:numPr>
      <w:spacing w:after="240"/>
    </w:pPr>
  </w:style>
  <w:style w:type="paragraph" w:customStyle="1" w:styleId="AHPRAtableheading">
    <w:name w:val="AHPRA table heading"/>
    <w:basedOn w:val="AHPRASubheadinglevel2"/>
    <w:rsid w:val="00BD2721"/>
    <w:pPr>
      <w:spacing w:before="120" w:after="120"/>
      <w:jc w:val="center"/>
    </w:pPr>
  </w:style>
  <w:style w:type="paragraph" w:customStyle="1" w:styleId="AHPRABulletlevel1last">
    <w:name w:val="AHPRA Bullet level 1 last"/>
    <w:basedOn w:val="AHPRABulletlevel1"/>
    <w:next w:val="Normal"/>
    <w:rsid w:val="00BD2721"/>
    <w:pPr>
      <w:spacing w:after="200"/>
    </w:pPr>
  </w:style>
  <w:style w:type="paragraph" w:customStyle="1" w:styleId="AHPRANumberedlistlevel1withspace">
    <w:name w:val="AHPRA Numbered list level 1 with space"/>
    <w:basedOn w:val="AHPRANumberedlistlevel1"/>
    <w:next w:val="AHPRAbody"/>
    <w:rsid w:val="00BD2721"/>
    <w:pPr>
      <w:numPr>
        <w:numId w:val="0"/>
      </w:num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BD2721"/>
    <w:rPr>
      <w:b/>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BD2721"/>
    <w:pPr>
      <w:jc w:val="center"/>
    </w:pPr>
    <w:rPr>
      <w:rFonts w:cs="Arial"/>
      <w:color w:val="5F5E62"/>
      <w:sz w:val="18"/>
      <w:lang w:val="en-US"/>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BD2721"/>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BD2721"/>
    <w:pPr>
      <w:numPr>
        <w:numId w:val="3"/>
      </w:numPr>
    </w:pPr>
  </w:style>
  <w:style w:type="numbering" w:customStyle="1" w:styleId="AHPRANumberedheadinglist">
    <w:name w:val="AHPRA Numbered heading list"/>
    <w:uiPriority w:val="99"/>
    <w:rsid w:val="00BD2721"/>
    <w:pPr>
      <w:numPr>
        <w:numId w:val="4"/>
      </w:numPr>
    </w:pPr>
  </w:style>
  <w:style w:type="paragraph" w:customStyle="1" w:styleId="AHPRANumberedlistlevel3withspace">
    <w:name w:val="AHPRA Numbered list level 3 with space"/>
    <w:basedOn w:val="AHPRANumberedlistlevel3"/>
    <w:next w:val="AHPRAbody"/>
    <w:rsid w:val="00BD2721"/>
    <w:pPr>
      <w:numPr>
        <w:ilvl w:val="0"/>
        <w:numId w:val="0"/>
      </w:num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BD2721"/>
    <w:pPr>
      <w:spacing w:after="200"/>
    </w:pPr>
  </w:style>
  <w:style w:type="paragraph" w:customStyle="1" w:styleId="AHPRABulletlevel3last">
    <w:name w:val="AHPRA Bullet level 3 last"/>
    <w:basedOn w:val="AHPRABulletlevel3"/>
    <w:next w:val="AHPRAbody"/>
    <w:rsid w:val="00BD2721"/>
    <w:pPr>
      <w:numPr>
        <w:numId w:val="0"/>
      </w:numPr>
      <w:spacing w:after="200"/>
    </w:pPr>
  </w:style>
  <w:style w:type="paragraph" w:customStyle="1" w:styleId="AHPRAbodyitalics">
    <w:name w:val="AHPRA body italics"/>
    <w:basedOn w:val="AHPRAbodybold"/>
    <w:link w:val="AHPRAbodyitalicsChar"/>
    <w:rsid w:val="00BD2721"/>
    <w:rPr>
      <w:i/>
    </w:rPr>
  </w:style>
  <w:style w:type="paragraph" w:customStyle="1" w:styleId="AHPRAbodyunderline">
    <w:name w:val="AHPRA body underline"/>
    <w:basedOn w:val="AHPRAbodyitalics"/>
    <w:link w:val="AHPRAbodyunderlineChar"/>
    <w:rsid w:val="00BD2721"/>
    <w:rPr>
      <w:i w:val="0"/>
      <w:u w:val="single"/>
    </w:rPr>
  </w:style>
  <w:style w:type="paragraph" w:customStyle="1" w:styleId="AHPRAfirstpagefooter">
    <w:name w:val="AHPRA first page footer"/>
    <w:basedOn w:val="AHPRAfooter"/>
    <w:rsid w:val="00BD2721"/>
    <w:rPr>
      <w:b/>
    </w:rPr>
  </w:style>
  <w:style w:type="paragraph" w:customStyle="1" w:styleId="AHPRAfootnote">
    <w:name w:val="AHPRA footnote"/>
    <w:basedOn w:val="AHPRASubheading"/>
    <w:rsid w:val="00BD2721"/>
    <w:pPr>
      <w:spacing w:before="0" w:after="120"/>
    </w:pPr>
    <w:rPr>
      <w:b w:val="0"/>
      <w:color w:val="auto"/>
      <w:sz w:val="18"/>
      <w:szCs w:val="18"/>
    </w:rPr>
  </w:style>
  <w:style w:type="paragraph" w:customStyle="1" w:styleId="AHPRANumberedlistlevel1">
    <w:name w:val="AHPRA Numbered list level 1"/>
    <w:basedOn w:val="AHPRABulletlevel1"/>
    <w:qFormat/>
    <w:rsid w:val="00BD2721"/>
    <w:pPr>
      <w:numPr>
        <w:numId w:val="38"/>
      </w:numPr>
    </w:pPr>
  </w:style>
  <w:style w:type="paragraph" w:customStyle="1" w:styleId="AHPRANumberedlistlevel3">
    <w:name w:val="AHPRA Numbered list level 3"/>
    <w:basedOn w:val="AHPRANumberedlistlevel1"/>
    <w:rsid w:val="00BD2721"/>
    <w:pPr>
      <w:numPr>
        <w:ilvl w:val="2"/>
      </w:numPr>
    </w:pPr>
  </w:style>
  <w:style w:type="paragraph" w:customStyle="1" w:styleId="AHPRANumberedsubheadinglevel2">
    <w:name w:val="AHPRA Numbered subheading level 2"/>
    <w:basedOn w:val="AHPRANumberedsubheadinglevel1"/>
    <w:next w:val="AHPRAbody"/>
    <w:rsid w:val="00BD2721"/>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2721"/>
    <w:pPr>
      <w:numPr>
        <w:ilvl w:val="2"/>
      </w:numPr>
    </w:pPr>
    <w:rPr>
      <w:b w:val="0"/>
      <w:color w:val="007DC3"/>
    </w:rPr>
  </w:style>
  <w:style w:type="paragraph" w:customStyle="1" w:styleId="AHPRAtablebullets0">
    <w:name w:val="AHPRA table bullets"/>
    <w:basedOn w:val="AHPRABulletlevel1"/>
    <w:rsid w:val="00BD2721"/>
    <w:pPr>
      <w:numPr>
        <w:numId w:val="0"/>
      </w:numPr>
    </w:pPr>
  </w:style>
  <w:style w:type="character" w:customStyle="1" w:styleId="AHPRAbodyChar">
    <w:name w:val="AHPRA body Char"/>
    <w:basedOn w:val="DefaultParagraphFont"/>
    <w:link w:val="AHPRAbody"/>
    <w:uiPriority w:val="99"/>
    <w:rsid w:val="000E7E28"/>
    <w:rPr>
      <w:szCs w:val="24"/>
      <w:lang w:val="en-AU" w:eastAsia="en-AU"/>
    </w:rPr>
  </w:style>
  <w:style w:type="character" w:customStyle="1" w:styleId="AHPRAbodyboldChar">
    <w:name w:val="AHPRA body bold Char"/>
    <w:basedOn w:val="AHPRAbodyChar"/>
    <w:link w:val="AHPRAbodybold"/>
    <w:rsid w:val="000E7E28"/>
    <w:rPr>
      <w:b/>
      <w:szCs w:val="24"/>
      <w:lang w:val="en-AU" w:eastAsia="en-AU"/>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b/>
      <w:i/>
      <w:szCs w:val="24"/>
      <w:lang w:val="en-AU" w:eastAsia="en-AU"/>
    </w:rPr>
  </w:style>
  <w:style w:type="character" w:customStyle="1" w:styleId="AHPRAbodyunderlineChar">
    <w:name w:val="AHPRA body underline Char"/>
    <w:basedOn w:val="AHPRAbodyitalicsChar"/>
    <w:link w:val="AHPRAbodyunderline"/>
    <w:rsid w:val="000E7E28"/>
    <w:rPr>
      <w:b/>
      <w:i/>
      <w:szCs w:val="24"/>
      <w:u w:val="single"/>
      <w:lang w:val="en-AU" w:eastAsia="en-AU"/>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nhideWhenUsed/>
    <w:rsid w:val="007C2E55"/>
    <w:rPr>
      <w:sz w:val="16"/>
      <w:szCs w:val="16"/>
    </w:rPr>
  </w:style>
  <w:style w:type="paragraph" w:styleId="CommentText">
    <w:name w:val="annotation text"/>
    <w:basedOn w:val="Normal"/>
    <w:link w:val="CommentTextChar"/>
    <w:unhideWhenUsed/>
    <w:rsid w:val="007C2E55"/>
    <w:rPr>
      <w:sz w:val="20"/>
      <w:szCs w:val="20"/>
    </w:rPr>
  </w:style>
  <w:style w:type="character" w:customStyle="1" w:styleId="CommentTextChar">
    <w:name w:val="Comment Text Char"/>
    <w:basedOn w:val="DefaultParagraphFont"/>
    <w:link w:val="CommentText"/>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character" w:customStyle="1" w:styleId="AHPRASubheadingChar">
    <w:name w:val="AHPRA Subheading Char"/>
    <w:basedOn w:val="DefaultParagraphFont"/>
    <w:link w:val="AHPRASubheading"/>
    <w:locked/>
    <w:rsid w:val="004B36DC"/>
    <w:rPr>
      <w:b/>
      <w:color w:val="007DC3"/>
      <w:szCs w:val="24"/>
      <w:lang w:val="en-AU" w:eastAsia="en-AU"/>
    </w:rPr>
  </w:style>
  <w:style w:type="paragraph" w:customStyle="1" w:styleId="AHPRABody0">
    <w:name w:val="AHPRA Body"/>
    <w:basedOn w:val="Normal"/>
    <w:qFormat/>
    <w:rsid w:val="00F97880"/>
    <w:pPr>
      <w:spacing w:after="0"/>
    </w:pPr>
    <w:rPr>
      <w:rFonts w:eastAsiaTheme="minorHAnsi" w:cs="Arial"/>
      <w:sz w:val="20"/>
      <w:szCs w:val="20"/>
      <w:lang w:eastAsia="en-AU"/>
    </w:rPr>
  </w:style>
  <w:style w:type="paragraph" w:customStyle="1" w:styleId="AHPRASubhead">
    <w:name w:val="AHPRA Subhead"/>
    <w:basedOn w:val="Normal"/>
    <w:qFormat/>
    <w:rsid w:val="008C355B"/>
    <w:rPr>
      <w:b/>
      <w:color w:val="008EC4"/>
      <w:sz w:val="20"/>
    </w:rPr>
  </w:style>
  <w:style w:type="paragraph" w:styleId="BodyText">
    <w:name w:val="Body Text"/>
    <w:basedOn w:val="Normal"/>
    <w:link w:val="BodyTextChar"/>
    <w:uiPriority w:val="99"/>
    <w:unhideWhenUsed/>
    <w:qFormat/>
    <w:rsid w:val="008C355B"/>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8C355B"/>
    <w:rPr>
      <w:rFonts w:eastAsia="Times New Roman" w:cstheme="minorBidi"/>
      <w:lang w:val="en-AU" w:eastAsia="en-AU"/>
    </w:rPr>
  </w:style>
  <w:style w:type="character" w:styleId="Strong">
    <w:name w:val="Strong"/>
    <w:basedOn w:val="DefaultParagraphFont"/>
    <w:uiPriority w:val="22"/>
    <w:qFormat/>
    <w:rsid w:val="0069638D"/>
    <w:rPr>
      <w:b/>
      <w:bCs/>
      <w:i w:val="0"/>
      <w:iCs w:val="0"/>
    </w:rPr>
  </w:style>
  <w:style w:type="paragraph" w:customStyle="1" w:styleId="Heading1non-numbered">
    <w:name w:val="Heading 1 non-numbered"/>
    <w:basedOn w:val="Heading1"/>
    <w:next w:val="BodyText"/>
    <w:qFormat/>
    <w:rsid w:val="00FA5687"/>
    <w:pPr>
      <w:keepNext w:val="0"/>
      <w:spacing w:before="200" w:after="200"/>
    </w:pPr>
    <w:rPr>
      <w:rFonts w:ascii="Arial" w:eastAsia="Cambria" w:hAnsi="Arial" w:cs="Times New Roman"/>
      <w:bCs w:val="0"/>
      <w:color w:val="007DC3"/>
      <w:kern w:val="0"/>
      <w:sz w:val="20"/>
      <w:szCs w:val="24"/>
      <w:lang w:val="en-US"/>
    </w:rPr>
  </w:style>
  <w:style w:type="paragraph" w:customStyle="1" w:styleId="AHPRAitemheading">
    <w:name w:val="AHPRA item heading"/>
    <w:basedOn w:val="AHPRASubheading"/>
    <w:next w:val="Normal"/>
    <w:uiPriority w:val="99"/>
    <w:rsid w:val="00BD2721"/>
    <w:pPr>
      <w:numPr>
        <w:numId w:val="31"/>
      </w:numPr>
    </w:pPr>
    <w:rPr>
      <w:lang w:eastAsia="en-US"/>
    </w:rPr>
  </w:style>
  <w:style w:type="paragraph" w:customStyle="1" w:styleId="AHPRAitemlevel2">
    <w:name w:val="AHPRA item level 2"/>
    <w:basedOn w:val="AHPRASubheading"/>
    <w:link w:val="AHPRAitemlevel2Char"/>
    <w:uiPriority w:val="99"/>
    <w:rsid w:val="00BD2721"/>
    <w:pPr>
      <w:numPr>
        <w:ilvl w:val="1"/>
        <w:numId w:val="31"/>
      </w:numPr>
    </w:pPr>
    <w:rPr>
      <w:color w:val="auto"/>
      <w:lang w:eastAsia="en-US"/>
    </w:rPr>
  </w:style>
  <w:style w:type="paragraph" w:customStyle="1" w:styleId="AHPRAitemlevel3">
    <w:name w:val="AHPRA item level 3"/>
    <w:basedOn w:val="AHPRAitemlevel2"/>
    <w:uiPriority w:val="1"/>
    <w:rsid w:val="00BD2721"/>
    <w:pPr>
      <w:numPr>
        <w:ilvl w:val="2"/>
      </w:numPr>
    </w:pPr>
  </w:style>
  <w:style w:type="paragraph" w:customStyle="1" w:styleId="AHPRAbodyboardparanumbered">
    <w:name w:val="AHPRA body board para numbered"/>
    <w:basedOn w:val="AHPRAbody"/>
    <w:qFormat/>
    <w:rsid w:val="00BD2721"/>
    <w:pPr>
      <w:numPr>
        <w:numId w:val="24"/>
      </w:numPr>
    </w:pPr>
    <w:rPr>
      <w:rFonts w:cs="Arial"/>
      <w:szCs w:val="20"/>
      <w:lang w:eastAsia="en-US"/>
    </w:rPr>
  </w:style>
  <w:style w:type="character" w:customStyle="1" w:styleId="AHPRAitemlevel2Char">
    <w:name w:val="AHPRA item level 2 Char"/>
    <w:basedOn w:val="DefaultParagraphFont"/>
    <w:link w:val="AHPRAitemlevel2"/>
    <w:uiPriority w:val="99"/>
    <w:locked/>
    <w:rsid w:val="00C87E4C"/>
    <w:rPr>
      <w:b/>
      <w:szCs w:val="24"/>
      <w:lang w:val="en-AU"/>
    </w:rPr>
  </w:style>
  <w:style w:type="paragraph" w:customStyle="1" w:styleId="Indentedbullet1">
    <w:name w:val="Indented bullet 1"/>
    <w:basedOn w:val="AHPRABulletlevel1"/>
    <w:uiPriority w:val="1"/>
    <w:rsid w:val="00C87E4C"/>
    <w:pPr>
      <w:ind w:left="738"/>
    </w:pPr>
  </w:style>
  <w:style w:type="paragraph" w:customStyle="1" w:styleId="AHPRABulletText">
    <w:name w:val="AHPRA Bullet Text"/>
    <w:basedOn w:val="AHPRAbody"/>
    <w:next w:val="AHPRAbody"/>
    <w:qFormat/>
    <w:rsid w:val="001F54D0"/>
    <w:pPr>
      <w:numPr>
        <w:numId w:val="23"/>
      </w:numPr>
    </w:pPr>
    <w:rPr>
      <w:rFonts w:ascii="Arial MT Lt" w:hAnsi="Arial MT Lt"/>
    </w:rPr>
  </w:style>
  <w:style w:type="paragraph" w:customStyle="1" w:styleId="AHPRAbodywithoutspaceafter">
    <w:name w:val="AHPRA body without space after"/>
    <w:basedOn w:val="Normal"/>
    <w:rsid w:val="00BD2721"/>
    <w:pPr>
      <w:spacing w:after="0"/>
    </w:pPr>
    <w:rPr>
      <w:rFonts w:cs="Arial"/>
      <w:sz w:val="20"/>
      <w:lang w:val="en-US"/>
    </w:rPr>
  </w:style>
  <w:style w:type="numbering" w:customStyle="1" w:styleId="AHPRABullets">
    <w:name w:val="AHPRA Bullets"/>
    <w:uiPriority w:val="99"/>
    <w:rsid w:val="00BD2721"/>
    <w:pPr>
      <w:numPr>
        <w:numId w:val="27"/>
      </w:numPr>
    </w:pPr>
  </w:style>
  <w:style w:type="numbering" w:customStyle="1" w:styleId="AHPRAHeadings">
    <w:name w:val="AHPRA Headings"/>
    <w:uiPriority w:val="99"/>
    <w:rsid w:val="00BD2721"/>
    <w:pPr>
      <w:numPr>
        <w:numId w:val="28"/>
      </w:numPr>
    </w:pPr>
  </w:style>
  <w:style w:type="numbering" w:customStyle="1" w:styleId="AHPRAlist">
    <w:name w:val="AHPRA list"/>
    <w:uiPriority w:val="99"/>
    <w:rsid w:val="00BD2721"/>
    <w:pPr>
      <w:numPr>
        <w:numId w:val="32"/>
      </w:numPr>
    </w:pPr>
  </w:style>
  <w:style w:type="numbering" w:customStyle="1" w:styleId="AHPRAListBullets">
    <w:name w:val="AHPRA List Bullets"/>
    <w:uiPriority w:val="99"/>
    <w:rsid w:val="00BD2721"/>
    <w:pPr>
      <w:numPr>
        <w:numId w:val="33"/>
      </w:numPr>
    </w:pPr>
  </w:style>
  <w:style w:type="paragraph" w:customStyle="1" w:styleId="AHPRAnumberedbulletpoint">
    <w:name w:val="AHPRA numbered bullet point"/>
    <w:basedOn w:val="AHPRABulletlevel1"/>
    <w:rsid w:val="00BD2721"/>
    <w:pPr>
      <w:numPr>
        <w:numId w:val="0"/>
      </w:numPr>
      <w:ind w:left="369" w:hanging="369"/>
    </w:pPr>
  </w:style>
  <w:style w:type="paragraph" w:customStyle="1" w:styleId="AHPRAnumberedsubheadinglevel10">
    <w:name w:val="AHPRA numbered subheading level 1"/>
    <w:basedOn w:val="AHPRASubheading"/>
    <w:next w:val="AHPRAnumberedbulletpoint"/>
    <w:rsid w:val="00BD2721"/>
    <w:pPr>
      <w:numPr>
        <w:numId w:val="40"/>
      </w:numPr>
    </w:pPr>
    <w:rPr>
      <w:color w:val="008EC4"/>
    </w:rPr>
  </w:style>
  <w:style w:type="table" w:customStyle="1" w:styleId="AHPRATable1">
    <w:name w:val="AHPRA Table 1"/>
    <w:basedOn w:val="TableGrid"/>
    <w:uiPriority w:val="99"/>
    <w:qFormat/>
    <w:rsid w:val="00BD2721"/>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BD2721"/>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BD272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051">
      <w:bodyDiv w:val="1"/>
      <w:marLeft w:val="0"/>
      <w:marRight w:val="0"/>
      <w:marTop w:val="0"/>
      <w:marBottom w:val="0"/>
      <w:divBdr>
        <w:top w:val="none" w:sz="0" w:space="0" w:color="auto"/>
        <w:left w:val="none" w:sz="0" w:space="0" w:color="auto"/>
        <w:bottom w:val="none" w:sz="0" w:space="0" w:color="auto"/>
        <w:right w:val="none" w:sz="0" w:space="0" w:color="auto"/>
      </w:divBdr>
      <w:divsChild>
        <w:div w:id="516191447">
          <w:marLeft w:val="0"/>
          <w:marRight w:val="0"/>
          <w:marTop w:val="0"/>
          <w:marBottom w:val="0"/>
          <w:divBdr>
            <w:top w:val="none" w:sz="0" w:space="0" w:color="auto"/>
            <w:left w:val="none" w:sz="0" w:space="0" w:color="auto"/>
            <w:bottom w:val="none" w:sz="0" w:space="0" w:color="auto"/>
            <w:right w:val="none" w:sz="0" w:space="0" w:color="auto"/>
          </w:divBdr>
          <w:divsChild>
            <w:div w:id="1728335738">
              <w:marLeft w:val="0"/>
              <w:marRight w:val="0"/>
              <w:marTop w:val="0"/>
              <w:marBottom w:val="0"/>
              <w:divBdr>
                <w:top w:val="none" w:sz="0" w:space="0" w:color="auto"/>
                <w:left w:val="none" w:sz="0" w:space="0" w:color="auto"/>
                <w:bottom w:val="none" w:sz="0" w:space="0" w:color="auto"/>
                <w:right w:val="none" w:sz="0" w:space="0" w:color="auto"/>
              </w:divBdr>
              <w:divsChild>
                <w:div w:id="511797661">
                  <w:marLeft w:val="0"/>
                  <w:marRight w:val="0"/>
                  <w:marTop w:val="0"/>
                  <w:marBottom w:val="0"/>
                  <w:divBdr>
                    <w:top w:val="none" w:sz="0" w:space="0" w:color="auto"/>
                    <w:left w:val="none" w:sz="0" w:space="0" w:color="auto"/>
                    <w:bottom w:val="none" w:sz="0" w:space="0" w:color="auto"/>
                    <w:right w:val="none" w:sz="0" w:space="0" w:color="auto"/>
                  </w:divBdr>
                  <w:divsChild>
                    <w:div w:id="1099956418">
                      <w:marLeft w:val="0"/>
                      <w:marRight w:val="0"/>
                      <w:marTop w:val="150"/>
                      <w:marBottom w:val="0"/>
                      <w:divBdr>
                        <w:top w:val="none" w:sz="0" w:space="0" w:color="auto"/>
                        <w:left w:val="none" w:sz="0" w:space="0" w:color="auto"/>
                        <w:bottom w:val="none" w:sz="0" w:space="0" w:color="auto"/>
                        <w:right w:val="none" w:sz="0" w:space="0" w:color="auto"/>
                      </w:divBdr>
                    </w:div>
                  </w:divsChild>
                </w:div>
                <w:div w:id="9827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9298">
      <w:bodyDiv w:val="1"/>
      <w:marLeft w:val="0"/>
      <w:marRight w:val="0"/>
      <w:marTop w:val="0"/>
      <w:marBottom w:val="0"/>
      <w:divBdr>
        <w:top w:val="none" w:sz="0" w:space="0" w:color="auto"/>
        <w:left w:val="none" w:sz="0" w:space="0" w:color="auto"/>
        <w:bottom w:val="none" w:sz="0" w:space="0" w:color="auto"/>
        <w:right w:val="none" w:sz="0" w:space="0" w:color="auto"/>
      </w:divBdr>
      <w:divsChild>
        <w:div w:id="1490906056">
          <w:marLeft w:val="0"/>
          <w:marRight w:val="0"/>
          <w:marTop w:val="0"/>
          <w:marBottom w:val="0"/>
          <w:divBdr>
            <w:top w:val="none" w:sz="0" w:space="0" w:color="auto"/>
            <w:left w:val="none" w:sz="0" w:space="0" w:color="auto"/>
            <w:bottom w:val="none" w:sz="0" w:space="0" w:color="auto"/>
            <w:right w:val="none" w:sz="0" w:space="0" w:color="auto"/>
          </w:divBdr>
          <w:divsChild>
            <w:div w:id="855995953">
              <w:marLeft w:val="0"/>
              <w:marRight w:val="0"/>
              <w:marTop w:val="0"/>
              <w:marBottom w:val="0"/>
              <w:divBdr>
                <w:top w:val="none" w:sz="0" w:space="0" w:color="auto"/>
                <w:left w:val="none" w:sz="0" w:space="0" w:color="auto"/>
                <w:bottom w:val="none" w:sz="0" w:space="0" w:color="auto"/>
                <w:right w:val="none" w:sz="0" w:space="0" w:color="auto"/>
              </w:divBdr>
              <w:divsChild>
                <w:div w:id="1911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83350630">
      <w:bodyDiv w:val="1"/>
      <w:marLeft w:val="0"/>
      <w:marRight w:val="0"/>
      <w:marTop w:val="0"/>
      <w:marBottom w:val="0"/>
      <w:divBdr>
        <w:top w:val="none" w:sz="0" w:space="0" w:color="auto"/>
        <w:left w:val="none" w:sz="0" w:space="0" w:color="auto"/>
        <w:bottom w:val="none" w:sz="0" w:space="0" w:color="auto"/>
        <w:right w:val="none" w:sz="0" w:space="0" w:color="auto"/>
      </w:divBdr>
      <w:divsChild>
        <w:div w:id="66223233">
          <w:marLeft w:val="0"/>
          <w:marRight w:val="0"/>
          <w:marTop w:val="0"/>
          <w:marBottom w:val="0"/>
          <w:divBdr>
            <w:top w:val="none" w:sz="0" w:space="0" w:color="auto"/>
            <w:left w:val="none" w:sz="0" w:space="0" w:color="auto"/>
            <w:bottom w:val="none" w:sz="0" w:space="0" w:color="auto"/>
            <w:right w:val="none" w:sz="0" w:space="0" w:color="auto"/>
          </w:divBdr>
          <w:divsChild>
            <w:div w:id="761682163">
              <w:marLeft w:val="0"/>
              <w:marRight w:val="0"/>
              <w:marTop w:val="0"/>
              <w:marBottom w:val="0"/>
              <w:divBdr>
                <w:top w:val="none" w:sz="0" w:space="0" w:color="auto"/>
                <w:left w:val="none" w:sz="0" w:space="0" w:color="auto"/>
                <w:bottom w:val="none" w:sz="0" w:space="0" w:color="auto"/>
                <w:right w:val="none" w:sz="0" w:space="0" w:color="auto"/>
              </w:divBdr>
              <w:divsChild>
                <w:div w:id="14745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955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8">
          <w:marLeft w:val="0"/>
          <w:marRight w:val="0"/>
          <w:marTop w:val="0"/>
          <w:marBottom w:val="0"/>
          <w:divBdr>
            <w:top w:val="none" w:sz="0" w:space="0" w:color="auto"/>
            <w:left w:val="none" w:sz="0" w:space="0" w:color="auto"/>
            <w:bottom w:val="none" w:sz="0" w:space="0" w:color="auto"/>
            <w:right w:val="none" w:sz="0" w:space="0" w:color="auto"/>
          </w:divBdr>
          <w:divsChild>
            <w:div w:id="137959579">
              <w:marLeft w:val="0"/>
              <w:marRight w:val="0"/>
              <w:marTop w:val="0"/>
              <w:marBottom w:val="0"/>
              <w:divBdr>
                <w:top w:val="none" w:sz="0" w:space="0" w:color="auto"/>
                <w:left w:val="none" w:sz="0" w:space="0" w:color="auto"/>
                <w:bottom w:val="none" w:sz="0" w:space="0" w:color="auto"/>
                <w:right w:val="none" w:sz="0" w:space="0" w:color="auto"/>
              </w:divBdr>
              <w:divsChild>
                <w:div w:id="894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8183">
      <w:bodyDiv w:val="1"/>
      <w:marLeft w:val="0"/>
      <w:marRight w:val="0"/>
      <w:marTop w:val="0"/>
      <w:marBottom w:val="0"/>
      <w:divBdr>
        <w:top w:val="none" w:sz="0" w:space="0" w:color="auto"/>
        <w:left w:val="none" w:sz="0" w:space="0" w:color="auto"/>
        <w:bottom w:val="none" w:sz="0" w:space="0" w:color="auto"/>
        <w:right w:val="none" w:sz="0" w:space="0" w:color="auto"/>
      </w:divBdr>
      <w:divsChild>
        <w:div w:id="1466972615">
          <w:marLeft w:val="0"/>
          <w:marRight w:val="0"/>
          <w:marTop w:val="0"/>
          <w:marBottom w:val="0"/>
          <w:divBdr>
            <w:top w:val="none" w:sz="0" w:space="0" w:color="auto"/>
            <w:left w:val="none" w:sz="0" w:space="0" w:color="auto"/>
            <w:bottom w:val="none" w:sz="0" w:space="0" w:color="auto"/>
            <w:right w:val="none" w:sz="0" w:space="0" w:color="auto"/>
          </w:divBdr>
          <w:divsChild>
            <w:div w:id="56822256">
              <w:marLeft w:val="0"/>
              <w:marRight w:val="0"/>
              <w:marTop w:val="0"/>
              <w:marBottom w:val="0"/>
              <w:divBdr>
                <w:top w:val="none" w:sz="0" w:space="0" w:color="auto"/>
                <w:left w:val="none" w:sz="0" w:space="0" w:color="auto"/>
                <w:bottom w:val="none" w:sz="0" w:space="0" w:color="auto"/>
                <w:right w:val="none" w:sz="0" w:space="0" w:color="auto"/>
              </w:divBdr>
              <w:divsChild>
                <w:div w:id="2080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5899">
      <w:bodyDiv w:val="1"/>
      <w:marLeft w:val="0"/>
      <w:marRight w:val="0"/>
      <w:marTop w:val="0"/>
      <w:marBottom w:val="0"/>
      <w:divBdr>
        <w:top w:val="none" w:sz="0" w:space="0" w:color="auto"/>
        <w:left w:val="none" w:sz="0" w:space="0" w:color="auto"/>
        <w:bottom w:val="none" w:sz="0" w:space="0" w:color="auto"/>
        <w:right w:val="none" w:sz="0" w:space="0" w:color="auto"/>
      </w:divBdr>
      <w:divsChild>
        <w:div w:id="828135151">
          <w:marLeft w:val="0"/>
          <w:marRight w:val="0"/>
          <w:marTop w:val="0"/>
          <w:marBottom w:val="0"/>
          <w:divBdr>
            <w:top w:val="none" w:sz="0" w:space="0" w:color="auto"/>
            <w:left w:val="none" w:sz="0" w:space="0" w:color="auto"/>
            <w:bottom w:val="none" w:sz="0" w:space="0" w:color="auto"/>
            <w:right w:val="none" w:sz="0" w:space="0" w:color="auto"/>
          </w:divBdr>
          <w:divsChild>
            <w:div w:id="2142186660">
              <w:marLeft w:val="0"/>
              <w:marRight w:val="0"/>
              <w:marTop w:val="0"/>
              <w:marBottom w:val="0"/>
              <w:divBdr>
                <w:top w:val="none" w:sz="0" w:space="0" w:color="auto"/>
                <w:left w:val="none" w:sz="0" w:space="0" w:color="auto"/>
                <w:bottom w:val="none" w:sz="0" w:space="0" w:color="auto"/>
                <w:right w:val="none" w:sz="0" w:space="0" w:color="auto"/>
              </w:divBdr>
              <w:divsChild>
                <w:div w:id="500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55729125">
      <w:bodyDiv w:val="1"/>
      <w:marLeft w:val="0"/>
      <w:marRight w:val="0"/>
      <w:marTop w:val="0"/>
      <w:marBottom w:val="0"/>
      <w:divBdr>
        <w:top w:val="none" w:sz="0" w:space="0" w:color="auto"/>
        <w:left w:val="none" w:sz="0" w:space="0" w:color="auto"/>
        <w:bottom w:val="none" w:sz="0" w:space="0" w:color="auto"/>
        <w:right w:val="none" w:sz="0" w:space="0" w:color="auto"/>
      </w:divBdr>
      <w:divsChild>
        <w:div w:id="1690788415">
          <w:marLeft w:val="0"/>
          <w:marRight w:val="0"/>
          <w:marTop w:val="0"/>
          <w:marBottom w:val="0"/>
          <w:divBdr>
            <w:top w:val="none" w:sz="0" w:space="0" w:color="auto"/>
            <w:left w:val="none" w:sz="0" w:space="0" w:color="auto"/>
            <w:bottom w:val="none" w:sz="0" w:space="0" w:color="auto"/>
            <w:right w:val="none" w:sz="0" w:space="0" w:color="auto"/>
          </w:divBdr>
          <w:divsChild>
            <w:div w:id="1522233261">
              <w:marLeft w:val="0"/>
              <w:marRight w:val="0"/>
              <w:marTop w:val="0"/>
              <w:marBottom w:val="0"/>
              <w:divBdr>
                <w:top w:val="none" w:sz="0" w:space="0" w:color="auto"/>
                <w:left w:val="none" w:sz="0" w:space="0" w:color="auto"/>
                <w:bottom w:val="none" w:sz="0" w:space="0" w:color="auto"/>
                <w:right w:val="none" w:sz="0" w:space="0" w:color="auto"/>
              </w:divBdr>
              <w:divsChild>
                <w:div w:id="20442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655">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sChild>
        <w:div w:id="18898488">
          <w:marLeft w:val="0"/>
          <w:marRight w:val="0"/>
          <w:marTop w:val="0"/>
          <w:marBottom w:val="0"/>
          <w:divBdr>
            <w:top w:val="none" w:sz="0" w:space="0" w:color="auto"/>
            <w:left w:val="none" w:sz="0" w:space="0" w:color="auto"/>
            <w:bottom w:val="none" w:sz="0" w:space="0" w:color="auto"/>
            <w:right w:val="none" w:sz="0" w:space="0" w:color="auto"/>
          </w:divBdr>
          <w:divsChild>
            <w:div w:id="739979451">
              <w:marLeft w:val="0"/>
              <w:marRight w:val="0"/>
              <w:marTop w:val="0"/>
              <w:marBottom w:val="0"/>
              <w:divBdr>
                <w:top w:val="none" w:sz="0" w:space="0" w:color="auto"/>
                <w:left w:val="none" w:sz="0" w:space="0" w:color="auto"/>
                <w:bottom w:val="none" w:sz="0" w:space="0" w:color="auto"/>
                <w:right w:val="none" w:sz="0" w:space="0" w:color="auto"/>
              </w:divBdr>
              <w:divsChild>
                <w:div w:id="1381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414">
      <w:bodyDiv w:val="1"/>
      <w:marLeft w:val="0"/>
      <w:marRight w:val="0"/>
      <w:marTop w:val="0"/>
      <w:marBottom w:val="0"/>
      <w:divBdr>
        <w:top w:val="none" w:sz="0" w:space="0" w:color="auto"/>
        <w:left w:val="none" w:sz="0" w:space="0" w:color="auto"/>
        <w:bottom w:val="none" w:sz="0" w:space="0" w:color="auto"/>
        <w:right w:val="none" w:sz="0" w:space="0" w:color="auto"/>
      </w:divBdr>
      <w:divsChild>
        <w:div w:id="1928997979">
          <w:marLeft w:val="0"/>
          <w:marRight w:val="0"/>
          <w:marTop w:val="0"/>
          <w:marBottom w:val="0"/>
          <w:divBdr>
            <w:top w:val="none" w:sz="0" w:space="0" w:color="auto"/>
            <w:left w:val="none" w:sz="0" w:space="0" w:color="auto"/>
            <w:bottom w:val="none" w:sz="0" w:space="0" w:color="auto"/>
            <w:right w:val="none" w:sz="0" w:space="0" w:color="auto"/>
          </w:divBdr>
          <w:divsChild>
            <w:div w:id="1870605608">
              <w:marLeft w:val="0"/>
              <w:marRight w:val="0"/>
              <w:marTop w:val="0"/>
              <w:marBottom w:val="0"/>
              <w:divBdr>
                <w:top w:val="none" w:sz="0" w:space="0" w:color="auto"/>
                <w:left w:val="none" w:sz="0" w:space="0" w:color="auto"/>
                <w:bottom w:val="none" w:sz="0" w:space="0" w:color="auto"/>
                <w:right w:val="none" w:sz="0" w:space="0" w:color="auto"/>
              </w:divBdr>
              <w:divsChild>
                <w:div w:id="451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5531">
      <w:bodyDiv w:val="1"/>
      <w:marLeft w:val="0"/>
      <w:marRight w:val="0"/>
      <w:marTop w:val="0"/>
      <w:marBottom w:val="0"/>
      <w:divBdr>
        <w:top w:val="none" w:sz="0" w:space="0" w:color="auto"/>
        <w:left w:val="none" w:sz="0" w:space="0" w:color="auto"/>
        <w:bottom w:val="none" w:sz="0" w:space="0" w:color="auto"/>
        <w:right w:val="none" w:sz="0" w:space="0" w:color="auto"/>
      </w:divBdr>
      <w:divsChild>
        <w:div w:id="1343970105">
          <w:marLeft w:val="0"/>
          <w:marRight w:val="0"/>
          <w:marTop w:val="0"/>
          <w:marBottom w:val="0"/>
          <w:divBdr>
            <w:top w:val="none" w:sz="0" w:space="0" w:color="auto"/>
            <w:left w:val="none" w:sz="0" w:space="0" w:color="auto"/>
            <w:bottom w:val="none" w:sz="0" w:space="0" w:color="auto"/>
            <w:right w:val="none" w:sz="0" w:space="0" w:color="auto"/>
          </w:divBdr>
          <w:divsChild>
            <w:div w:id="1494681733">
              <w:marLeft w:val="0"/>
              <w:marRight w:val="0"/>
              <w:marTop w:val="0"/>
              <w:marBottom w:val="0"/>
              <w:divBdr>
                <w:top w:val="none" w:sz="0" w:space="0" w:color="auto"/>
                <w:left w:val="none" w:sz="0" w:space="0" w:color="auto"/>
                <w:bottom w:val="none" w:sz="0" w:space="0" w:color="auto"/>
                <w:right w:val="none" w:sz="0" w:space="0" w:color="auto"/>
              </w:divBdr>
              <w:divsChild>
                <w:div w:id="602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2935">
      <w:bodyDiv w:val="1"/>
      <w:marLeft w:val="0"/>
      <w:marRight w:val="0"/>
      <w:marTop w:val="0"/>
      <w:marBottom w:val="0"/>
      <w:divBdr>
        <w:top w:val="none" w:sz="0" w:space="0" w:color="auto"/>
        <w:left w:val="none" w:sz="0" w:space="0" w:color="auto"/>
        <w:bottom w:val="none" w:sz="0" w:space="0" w:color="auto"/>
        <w:right w:val="none" w:sz="0" w:space="0" w:color="auto"/>
      </w:divBdr>
      <w:divsChild>
        <w:div w:id="1059787432">
          <w:marLeft w:val="0"/>
          <w:marRight w:val="0"/>
          <w:marTop w:val="0"/>
          <w:marBottom w:val="0"/>
          <w:divBdr>
            <w:top w:val="none" w:sz="0" w:space="0" w:color="auto"/>
            <w:left w:val="none" w:sz="0" w:space="0" w:color="auto"/>
            <w:bottom w:val="none" w:sz="0" w:space="0" w:color="auto"/>
            <w:right w:val="none" w:sz="0" w:space="0" w:color="auto"/>
          </w:divBdr>
          <w:divsChild>
            <w:div w:id="99840470">
              <w:marLeft w:val="0"/>
              <w:marRight w:val="0"/>
              <w:marTop w:val="0"/>
              <w:marBottom w:val="0"/>
              <w:divBdr>
                <w:top w:val="none" w:sz="0" w:space="0" w:color="auto"/>
                <w:left w:val="none" w:sz="0" w:space="0" w:color="auto"/>
                <w:bottom w:val="none" w:sz="0" w:space="0" w:color="auto"/>
                <w:right w:val="none" w:sz="0" w:space="0" w:color="auto"/>
              </w:divBdr>
              <w:divsChild>
                <w:div w:id="354230338">
                  <w:marLeft w:val="0"/>
                  <w:marRight w:val="0"/>
                  <w:marTop w:val="0"/>
                  <w:marBottom w:val="0"/>
                  <w:divBdr>
                    <w:top w:val="none" w:sz="0" w:space="0" w:color="auto"/>
                    <w:left w:val="none" w:sz="0" w:space="0" w:color="auto"/>
                    <w:bottom w:val="none" w:sz="0" w:space="0" w:color="auto"/>
                    <w:right w:val="none" w:sz="0" w:space="0" w:color="auto"/>
                  </w:divBdr>
                  <w:divsChild>
                    <w:div w:id="766656116">
                      <w:marLeft w:val="0"/>
                      <w:marRight w:val="0"/>
                      <w:marTop w:val="0"/>
                      <w:marBottom w:val="270"/>
                      <w:divBdr>
                        <w:top w:val="none" w:sz="0" w:space="0" w:color="auto"/>
                        <w:left w:val="none" w:sz="0" w:space="0" w:color="auto"/>
                        <w:bottom w:val="none" w:sz="0" w:space="0" w:color="auto"/>
                        <w:right w:val="none" w:sz="0" w:space="0" w:color="auto"/>
                      </w:divBdr>
                      <w:divsChild>
                        <w:div w:id="1095514531">
                          <w:marLeft w:val="0"/>
                          <w:marRight w:val="0"/>
                          <w:marTop w:val="0"/>
                          <w:marBottom w:val="270"/>
                          <w:divBdr>
                            <w:top w:val="single" w:sz="6" w:space="0" w:color="CCCCCC"/>
                            <w:left w:val="none" w:sz="0" w:space="0" w:color="auto"/>
                            <w:bottom w:val="none" w:sz="0" w:space="0" w:color="auto"/>
                            <w:right w:val="none" w:sz="0" w:space="0" w:color="auto"/>
                          </w:divBdr>
                          <w:divsChild>
                            <w:div w:id="1230309415">
                              <w:marLeft w:val="0"/>
                              <w:marRight w:val="0"/>
                              <w:marTop w:val="0"/>
                              <w:marBottom w:val="0"/>
                              <w:divBdr>
                                <w:top w:val="none" w:sz="0" w:space="0" w:color="auto"/>
                                <w:left w:val="none" w:sz="0" w:space="0" w:color="auto"/>
                                <w:bottom w:val="single" w:sz="6" w:space="0" w:color="CCCCCC"/>
                                <w:right w:val="none" w:sz="0" w:space="0" w:color="auto"/>
                              </w:divBdr>
                              <w:divsChild>
                                <w:div w:id="493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59485">
      <w:bodyDiv w:val="1"/>
      <w:marLeft w:val="0"/>
      <w:marRight w:val="0"/>
      <w:marTop w:val="0"/>
      <w:marBottom w:val="0"/>
      <w:divBdr>
        <w:top w:val="none" w:sz="0" w:space="0" w:color="auto"/>
        <w:left w:val="none" w:sz="0" w:space="0" w:color="auto"/>
        <w:bottom w:val="none" w:sz="0" w:space="0" w:color="auto"/>
        <w:right w:val="none" w:sz="0" w:space="0" w:color="auto"/>
      </w:divBdr>
      <w:divsChild>
        <w:div w:id="898399703">
          <w:marLeft w:val="0"/>
          <w:marRight w:val="0"/>
          <w:marTop w:val="0"/>
          <w:marBottom w:val="0"/>
          <w:divBdr>
            <w:top w:val="none" w:sz="0" w:space="0" w:color="auto"/>
            <w:left w:val="none" w:sz="0" w:space="0" w:color="auto"/>
            <w:bottom w:val="none" w:sz="0" w:space="0" w:color="auto"/>
            <w:right w:val="none" w:sz="0" w:space="0" w:color="auto"/>
          </w:divBdr>
          <w:divsChild>
            <w:div w:id="1045060946">
              <w:marLeft w:val="0"/>
              <w:marRight w:val="0"/>
              <w:marTop w:val="0"/>
              <w:marBottom w:val="0"/>
              <w:divBdr>
                <w:top w:val="none" w:sz="0" w:space="0" w:color="auto"/>
                <w:left w:val="none" w:sz="0" w:space="0" w:color="auto"/>
                <w:bottom w:val="none" w:sz="0" w:space="0" w:color="auto"/>
                <w:right w:val="none" w:sz="0" w:space="0" w:color="auto"/>
              </w:divBdr>
              <w:divsChild>
                <w:div w:id="12281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5810">
      <w:bodyDiv w:val="1"/>
      <w:marLeft w:val="0"/>
      <w:marRight w:val="0"/>
      <w:marTop w:val="0"/>
      <w:marBottom w:val="0"/>
      <w:divBdr>
        <w:top w:val="none" w:sz="0" w:space="0" w:color="auto"/>
        <w:left w:val="none" w:sz="0" w:space="0" w:color="auto"/>
        <w:bottom w:val="none" w:sz="0" w:space="0" w:color="auto"/>
        <w:right w:val="none" w:sz="0" w:space="0" w:color="auto"/>
      </w:divBdr>
      <w:divsChild>
        <w:div w:id="1999110843">
          <w:marLeft w:val="0"/>
          <w:marRight w:val="0"/>
          <w:marTop w:val="0"/>
          <w:marBottom w:val="0"/>
          <w:divBdr>
            <w:top w:val="none" w:sz="0" w:space="0" w:color="auto"/>
            <w:left w:val="none" w:sz="0" w:space="0" w:color="auto"/>
            <w:bottom w:val="none" w:sz="0" w:space="0" w:color="auto"/>
            <w:right w:val="none" w:sz="0" w:space="0" w:color="auto"/>
          </w:divBdr>
          <w:divsChild>
            <w:div w:id="687294022">
              <w:marLeft w:val="0"/>
              <w:marRight w:val="0"/>
              <w:marTop w:val="0"/>
              <w:marBottom w:val="0"/>
              <w:divBdr>
                <w:top w:val="none" w:sz="0" w:space="0" w:color="auto"/>
                <w:left w:val="none" w:sz="0" w:space="0" w:color="auto"/>
                <w:bottom w:val="none" w:sz="0" w:space="0" w:color="auto"/>
                <w:right w:val="none" w:sz="0" w:space="0" w:color="auto"/>
              </w:divBdr>
              <w:divsChild>
                <w:div w:id="515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8315">
      <w:bodyDiv w:val="1"/>
      <w:marLeft w:val="0"/>
      <w:marRight w:val="0"/>
      <w:marTop w:val="0"/>
      <w:marBottom w:val="0"/>
      <w:divBdr>
        <w:top w:val="none" w:sz="0" w:space="0" w:color="auto"/>
        <w:left w:val="none" w:sz="0" w:space="0" w:color="auto"/>
        <w:bottom w:val="none" w:sz="0" w:space="0" w:color="auto"/>
        <w:right w:val="none" w:sz="0" w:space="0" w:color="auto"/>
      </w:divBdr>
      <w:divsChild>
        <w:div w:id="855508060">
          <w:marLeft w:val="0"/>
          <w:marRight w:val="0"/>
          <w:marTop w:val="0"/>
          <w:marBottom w:val="0"/>
          <w:divBdr>
            <w:top w:val="none" w:sz="0" w:space="0" w:color="auto"/>
            <w:left w:val="none" w:sz="0" w:space="0" w:color="auto"/>
            <w:bottom w:val="none" w:sz="0" w:space="0" w:color="auto"/>
            <w:right w:val="none" w:sz="0" w:space="0" w:color="auto"/>
          </w:divBdr>
          <w:divsChild>
            <w:div w:id="1227447424">
              <w:marLeft w:val="0"/>
              <w:marRight w:val="0"/>
              <w:marTop w:val="0"/>
              <w:marBottom w:val="0"/>
              <w:divBdr>
                <w:top w:val="none" w:sz="0" w:space="0" w:color="auto"/>
                <w:left w:val="none" w:sz="0" w:space="0" w:color="auto"/>
                <w:bottom w:val="none" w:sz="0" w:space="0" w:color="auto"/>
                <w:right w:val="none" w:sz="0" w:space="0" w:color="auto"/>
              </w:divBdr>
              <w:divsChild>
                <w:div w:id="419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27810">
      <w:bodyDiv w:val="1"/>
      <w:marLeft w:val="0"/>
      <w:marRight w:val="0"/>
      <w:marTop w:val="0"/>
      <w:marBottom w:val="0"/>
      <w:divBdr>
        <w:top w:val="none" w:sz="0" w:space="0" w:color="auto"/>
        <w:left w:val="none" w:sz="0" w:space="0" w:color="auto"/>
        <w:bottom w:val="none" w:sz="0" w:space="0" w:color="auto"/>
        <w:right w:val="none" w:sz="0" w:space="0" w:color="auto"/>
      </w:divBdr>
      <w:divsChild>
        <w:div w:id="158930954">
          <w:marLeft w:val="0"/>
          <w:marRight w:val="0"/>
          <w:marTop w:val="0"/>
          <w:marBottom w:val="0"/>
          <w:divBdr>
            <w:top w:val="none" w:sz="0" w:space="0" w:color="auto"/>
            <w:left w:val="none" w:sz="0" w:space="0" w:color="auto"/>
            <w:bottom w:val="none" w:sz="0" w:space="0" w:color="auto"/>
            <w:right w:val="none" w:sz="0" w:space="0" w:color="auto"/>
          </w:divBdr>
          <w:divsChild>
            <w:div w:id="1496341928">
              <w:marLeft w:val="0"/>
              <w:marRight w:val="0"/>
              <w:marTop w:val="0"/>
              <w:marBottom w:val="0"/>
              <w:divBdr>
                <w:top w:val="none" w:sz="0" w:space="0" w:color="auto"/>
                <w:left w:val="none" w:sz="0" w:space="0" w:color="auto"/>
                <w:bottom w:val="none" w:sz="0" w:space="0" w:color="auto"/>
                <w:right w:val="none" w:sz="0" w:space="0" w:color="auto"/>
              </w:divBdr>
              <w:divsChild>
                <w:div w:id="14730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5492">
      <w:bodyDiv w:val="1"/>
      <w:marLeft w:val="0"/>
      <w:marRight w:val="0"/>
      <w:marTop w:val="0"/>
      <w:marBottom w:val="0"/>
      <w:divBdr>
        <w:top w:val="none" w:sz="0" w:space="0" w:color="auto"/>
        <w:left w:val="none" w:sz="0" w:space="0" w:color="auto"/>
        <w:bottom w:val="none" w:sz="0" w:space="0" w:color="auto"/>
        <w:right w:val="none" w:sz="0" w:space="0" w:color="auto"/>
      </w:divBdr>
      <w:divsChild>
        <w:div w:id="927277157">
          <w:marLeft w:val="0"/>
          <w:marRight w:val="0"/>
          <w:marTop w:val="0"/>
          <w:marBottom w:val="0"/>
          <w:divBdr>
            <w:top w:val="none" w:sz="0" w:space="0" w:color="auto"/>
            <w:left w:val="none" w:sz="0" w:space="0" w:color="auto"/>
            <w:bottom w:val="none" w:sz="0" w:space="0" w:color="auto"/>
            <w:right w:val="none" w:sz="0" w:space="0" w:color="auto"/>
          </w:divBdr>
          <w:divsChild>
            <w:div w:id="713890499">
              <w:marLeft w:val="0"/>
              <w:marRight w:val="0"/>
              <w:marTop w:val="0"/>
              <w:marBottom w:val="0"/>
              <w:divBdr>
                <w:top w:val="none" w:sz="0" w:space="0" w:color="auto"/>
                <w:left w:val="none" w:sz="0" w:space="0" w:color="auto"/>
                <w:bottom w:val="none" w:sz="0" w:space="0" w:color="auto"/>
                <w:right w:val="none" w:sz="0" w:space="0" w:color="auto"/>
              </w:divBdr>
              <w:divsChild>
                <w:div w:id="1168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1216">
      <w:bodyDiv w:val="1"/>
      <w:marLeft w:val="0"/>
      <w:marRight w:val="0"/>
      <w:marTop w:val="0"/>
      <w:marBottom w:val="0"/>
      <w:divBdr>
        <w:top w:val="none" w:sz="0" w:space="0" w:color="auto"/>
        <w:left w:val="none" w:sz="0" w:space="0" w:color="auto"/>
        <w:bottom w:val="none" w:sz="0" w:space="0" w:color="auto"/>
        <w:right w:val="none" w:sz="0" w:space="0" w:color="auto"/>
      </w:divBdr>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odiatryboard.gov.au/Registration-Standards.aspx" TargetMode="External"/><Relationship Id="rId13" Type="http://schemas.openxmlformats.org/officeDocument/2006/relationships/hyperlink" Target="http://www.ahpra.gov.au/News/2016-03-08-call-for-applications.aspx" TargetMode="External"/><Relationship Id="rId18" Type="http://schemas.openxmlformats.org/officeDocument/2006/relationships/hyperlink" Target="https://www.youtube.com/channel/UCtswdaCOff5CIv1ijDY9ff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diatryboard.gov.au" TargetMode="External"/><Relationship Id="rId7" Type="http://schemas.openxmlformats.org/officeDocument/2006/relationships/endnotes" Target="endnotes.xml"/><Relationship Id="rId12" Type="http://schemas.openxmlformats.org/officeDocument/2006/relationships/hyperlink" Target="http://www.podiatryboard.gov.au/Policies-Codes-Guidelines.aspx" TargetMode="External"/><Relationship Id="rId17" Type="http://schemas.openxmlformats.org/officeDocument/2006/relationships/hyperlink" Target="http://www.podiatryboard.gov.au/News/2015-12-22-national-regulatory-scheme.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hpra.gov.au/About-AHPRA/What-We-Do.aspx" TargetMode="External"/><Relationship Id="rId20" Type="http://schemas.openxmlformats.org/officeDocument/2006/relationships/hyperlink" Target="http://www.ahpra.gov.au/annualreport/2015/downloa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rc.gov.au/guidelines-publications/cd3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hpra.gov.au/News/2015-12-31-obligations-for-employers.aspx" TargetMode="External"/><Relationship Id="rId23" Type="http://schemas.openxmlformats.org/officeDocument/2006/relationships/footer" Target="footer1.xml"/><Relationship Id="rId10" Type="http://schemas.openxmlformats.org/officeDocument/2006/relationships/hyperlink" Target="http://www.podiatryboard.gov.au/Policies-Codes-Guidelines.aspx" TargetMode="External"/><Relationship Id="rId19" Type="http://schemas.openxmlformats.org/officeDocument/2006/relationships/hyperlink" Target="http://www.ahpra.gov.au/annualreport/2015/" TargetMode="External"/><Relationship Id="rId4" Type="http://schemas.openxmlformats.org/officeDocument/2006/relationships/settings" Target="settings.xml"/><Relationship Id="rId9" Type="http://schemas.openxmlformats.org/officeDocument/2006/relationships/hyperlink" Target="http://www.podiatryboard.gov.au/News/2016-02-02-recency-of-practice.aspx" TargetMode="External"/><Relationship Id="rId14" Type="http://schemas.openxmlformats.org/officeDocument/2006/relationships/hyperlink" Target="http://www.ahpra.gov.au/Registration/Registers-of-Practitioners.aspx"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E56B-385D-4176-A253-42D64D00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Communique - Meeting of the Optometry Board of Australia - 24 February 2016</vt:lpstr>
    </vt:vector>
  </TitlesOfParts>
  <Company>Johanna Villani Design</Company>
  <LinksUpToDate>false</LinksUpToDate>
  <CharactersWithSpaces>10439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Meeting of the Optometry Board of Australia - 24 February 2016</dc:title>
  <dc:subject>Communique</dc:subject>
  <dc:creator>Podiatry Board</dc:creator>
  <cp:lastModifiedBy>Sheryl Kamath</cp:lastModifiedBy>
  <cp:revision>3</cp:revision>
  <cp:lastPrinted>2012-02-10T00:45:00Z</cp:lastPrinted>
  <dcterms:created xsi:type="dcterms:W3CDTF">2016-03-10T04:51:00Z</dcterms:created>
  <dcterms:modified xsi:type="dcterms:W3CDTF">2016-03-10T22:32:00Z</dcterms:modified>
</cp:coreProperties>
</file>