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A1" w:rsidRDefault="00975AA1" w:rsidP="00C3795C">
      <w:pPr>
        <w:pStyle w:val="AHPRADocumenttitle"/>
      </w:pPr>
    </w:p>
    <w:p w:rsidR="00975AA1" w:rsidRDefault="00975AA1" w:rsidP="00C3795C">
      <w:pPr>
        <w:pStyle w:val="AHPRADocumenttitle"/>
      </w:pPr>
    </w:p>
    <w:p w:rsidR="00FC2881" w:rsidRPr="00C3795C" w:rsidRDefault="00C07F53" w:rsidP="00C3795C">
      <w:pPr>
        <w:pStyle w:val="AHPRADocumenttitle"/>
      </w:pPr>
      <w:r w:rsidRPr="00C07F53">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w:r>
      <w:r w:rsidR="00975AA1">
        <w:t>Communiqué</w:t>
      </w:r>
    </w:p>
    <w:p w:rsidR="00C3795C" w:rsidRDefault="00C3795C" w:rsidP="00FC2881">
      <w:pPr>
        <w:outlineLvl w:val="0"/>
      </w:pPr>
    </w:p>
    <w:p w:rsidR="00C3795C" w:rsidRDefault="00975AA1" w:rsidP="00C3795C">
      <w:pPr>
        <w:pStyle w:val="AHPRADocumentsubheading"/>
      </w:pPr>
      <w:r>
        <w:t xml:space="preserve">Meeting of the Podiatry Board of Australia held on </w:t>
      </w:r>
      <w:r w:rsidR="00650A78">
        <w:t>22 April</w:t>
      </w:r>
      <w:r w:rsidR="008F4B4F">
        <w:t xml:space="preserve"> 201</w:t>
      </w:r>
      <w:r w:rsidR="00AC0415">
        <w:t>5</w:t>
      </w:r>
    </w:p>
    <w:p w:rsidR="00735191" w:rsidRDefault="00735191" w:rsidP="00735191">
      <w:pPr>
        <w:pStyle w:val="Default"/>
      </w:pPr>
    </w:p>
    <w:p w:rsidR="006476D9" w:rsidRPr="006476D9" w:rsidRDefault="00933374" w:rsidP="00194C45">
      <w:pPr>
        <w:pStyle w:val="Default"/>
        <w:spacing w:after="120"/>
        <w:rPr>
          <w:b/>
          <w:bCs/>
          <w:color w:val="008EC4"/>
          <w:sz w:val="20"/>
          <w:szCs w:val="20"/>
        </w:rPr>
      </w:pPr>
      <w:r>
        <w:rPr>
          <w:b/>
          <w:bCs/>
          <w:color w:val="008EC4"/>
          <w:sz w:val="20"/>
          <w:szCs w:val="20"/>
        </w:rPr>
        <w:t>B</w:t>
      </w:r>
      <w:r w:rsidR="000E719B">
        <w:rPr>
          <w:b/>
          <w:bCs/>
          <w:color w:val="008EC4"/>
          <w:sz w:val="20"/>
          <w:szCs w:val="20"/>
        </w:rPr>
        <w:t>oard survey</w:t>
      </w:r>
    </w:p>
    <w:p w:rsidR="000E719B" w:rsidRPr="00194C45" w:rsidRDefault="00EF27C1" w:rsidP="00194C45">
      <w:pPr>
        <w:rPr>
          <w:rFonts w:cs="Arial"/>
          <w:color w:val="000000"/>
          <w:sz w:val="20"/>
          <w:szCs w:val="20"/>
        </w:rPr>
      </w:pPr>
      <w:r w:rsidRPr="00194C45">
        <w:rPr>
          <w:rFonts w:cs="Arial"/>
          <w:color w:val="000000"/>
          <w:sz w:val="20"/>
          <w:szCs w:val="20"/>
        </w:rPr>
        <w:t>Thank you to all the podiatrists and podiatric surgeons who recently completed the Board’s survey.</w:t>
      </w:r>
    </w:p>
    <w:p w:rsidR="00194C45" w:rsidRDefault="00A20417" w:rsidP="00194C45">
      <w:pPr>
        <w:rPr>
          <w:rFonts w:cs="Arial"/>
          <w:color w:val="000000"/>
          <w:sz w:val="20"/>
          <w:szCs w:val="20"/>
        </w:rPr>
      </w:pPr>
      <w:r w:rsidRPr="00194C45">
        <w:rPr>
          <w:rFonts w:cs="Arial"/>
          <w:color w:val="000000"/>
          <w:sz w:val="20"/>
          <w:szCs w:val="20"/>
        </w:rPr>
        <w:t>We have had a great response rate and appreciate the time taken by registrants to complete the survey</w:t>
      </w:r>
      <w:r w:rsidR="00194C45" w:rsidRPr="00194C45">
        <w:rPr>
          <w:rFonts w:cs="Arial"/>
          <w:color w:val="000000"/>
          <w:sz w:val="20"/>
          <w:szCs w:val="20"/>
        </w:rPr>
        <w:t xml:space="preserve">.   </w:t>
      </w:r>
    </w:p>
    <w:p w:rsidR="000E719B" w:rsidRPr="00194C45" w:rsidRDefault="00194C45" w:rsidP="00194C45">
      <w:pPr>
        <w:rPr>
          <w:rFonts w:cs="Arial"/>
          <w:color w:val="000000"/>
          <w:sz w:val="20"/>
          <w:szCs w:val="20"/>
        </w:rPr>
      </w:pPr>
      <w:r>
        <w:rPr>
          <w:rFonts w:cs="Arial"/>
          <w:color w:val="000000"/>
          <w:sz w:val="20"/>
          <w:szCs w:val="20"/>
        </w:rPr>
        <w:t>The survey has now closed and t</w:t>
      </w:r>
      <w:r w:rsidRPr="00194C45">
        <w:rPr>
          <w:rFonts w:cs="Arial"/>
          <w:color w:val="000000"/>
          <w:sz w:val="20"/>
          <w:szCs w:val="20"/>
        </w:rPr>
        <w:t>he results are being analysed by the consultant who was engaged to conduct th</w:t>
      </w:r>
      <w:r>
        <w:rPr>
          <w:rFonts w:cs="Arial"/>
          <w:color w:val="000000"/>
          <w:sz w:val="20"/>
          <w:szCs w:val="20"/>
        </w:rPr>
        <w:t>is</w:t>
      </w:r>
      <w:r w:rsidRPr="00194C45">
        <w:rPr>
          <w:rFonts w:cs="Arial"/>
          <w:color w:val="000000"/>
          <w:sz w:val="20"/>
          <w:szCs w:val="20"/>
        </w:rPr>
        <w:t xml:space="preserve"> anonymous survey on behalf of the Board.   We hope the feedback will</w:t>
      </w:r>
      <w:r w:rsidR="000E719B" w:rsidRPr="00194C45">
        <w:rPr>
          <w:rFonts w:cs="Arial"/>
          <w:color w:val="000000"/>
          <w:sz w:val="20"/>
          <w:szCs w:val="20"/>
        </w:rPr>
        <w:t xml:space="preserve"> assist the Board to better understand registrants’ knowledge and understanding of their obligations under the National Law as well as identifying areas where the Board might need to provide more guidance to the profession.</w:t>
      </w:r>
    </w:p>
    <w:p w:rsidR="00194C45" w:rsidRPr="00194C45" w:rsidRDefault="00194C45" w:rsidP="00194C45">
      <w:pPr>
        <w:pStyle w:val="Default"/>
        <w:rPr>
          <w:sz w:val="20"/>
          <w:szCs w:val="20"/>
        </w:rPr>
      </w:pPr>
      <w:r w:rsidRPr="00194C45">
        <w:rPr>
          <w:sz w:val="20"/>
          <w:szCs w:val="20"/>
        </w:rPr>
        <w:t xml:space="preserve">Once again, thank you to everyone who completed </w:t>
      </w:r>
      <w:r>
        <w:rPr>
          <w:sz w:val="20"/>
          <w:szCs w:val="20"/>
        </w:rPr>
        <w:t>the survey</w:t>
      </w:r>
      <w:r w:rsidRPr="00194C45">
        <w:rPr>
          <w:sz w:val="20"/>
          <w:szCs w:val="20"/>
        </w:rPr>
        <w:t>.</w:t>
      </w:r>
    </w:p>
    <w:p w:rsidR="00194C45" w:rsidRPr="00194C45" w:rsidRDefault="00194C45" w:rsidP="00194C45">
      <w:pPr>
        <w:pStyle w:val="Default"/>
      </w:pPr>
    </w:p>
    <w:p w:rsidR="00A27F29" w:rsidRDefault="00DF5DC1" w:rsidP="000E719B">
      <w:pPr>
        <w:pStyle w:val="Default"/>
        <w:rPr>
          <w:b/>
          <w:bCs/>
          <w:color w:val="008EC4"/>
          <w:sz w:val="20"/>
          <w:szCs w:val="20"/>
        </w:rPr>
      </w:pPr>
      <w:r>
        <w:rPr>
          <w:b/>
          <w:bCs/>
          <w:color w:val="008EC4"/>
          <w:sz w:val="20"/>
          <w:szCs w:val="20"/>
        </w:rPr>
        <w:t>Approval of revised accreditation standards for podiatry</w:t>
      </w:r>
    </w:p>
    <w:p w:rsidR="00DF5DC1" w:rsidRDefault="00DF5DC1" w:rsidP="000E719B">
      <w:pPr>
        <w:pStyle w:val="Default"/>
        <w:rPr>
          <w:b/>
          <w:bCs/>
          <w:color w:val="008EC4"/>
          <w:sz w:val="20"/>
          <w:szCs w:val="20"/>
        </w:rPr>
      </w:pPr>
    </w:p>
    <w:p w:rsidR="00DF5DC1" w:rsidRDefault="00DF5DC1" w:rsidP="00892B3A">
      <w:pPr>
        <w:pStyle w:val="Default"/>
        <w:rPr>
          <w:sz w:val="20"/>
          <w:szCs w:val="20"/>
        </w:rPr>
      </w:pPr>
      <w:r>
        <w:t xml:space="preserve"> </w:t>
      </w:r>
      <w:r>
        <w:rPr>
          <w:sz w:val="20"/>
          <w:szCs w:val="20"/>
        </w:rPr>
        <w:t xml:space="preserve">Under the National Law, the Australian and New Zealand Podiatry Accreditation Council (ANZPAC) is responsible for developing accreditation standards for the approval of the Board. </w:t>
      </w:r>
      <w:r w:rsidR="00892B3A">
        <w:t xml:space="preserve"> </w:t>
      </w:r>
      <w:r w:rsidR="00892B3A">
        <w:rPr>
          <w:sz w:val="20"/>
          <w:szCs w:val="20"/>
        </w:rPr>
        <w:t xml:space="preserve">Accreditation standards are used to assess whether a program of study, and the education provider that </w:t>
      </w:r>
      <w:r w:rsidR="00DA00C3">
        <w:rPr>
          <w:sz w:val="20"/>
          <w:szCs w:val="20"/>
        </w:rPr>
        <w:t>delivers</w:t>
      </w:r>
      <w:r w:rsidR="00892B3A">
        <w:rPr>
          <w:sz w:val="20"/>
          <w:szCs w:val="20"/>
        </w:rPr>
        <w:t xml:space="preserve"> the program of study, provide </w:t>
      </w:r>
      <w:r w:rsidR="00DA00C3">
        <w:rPr>
          <w:sz w:val="20"/>
          <w:szCs w:val="20"/>
        </w:rPr>
        <w:t>individuals</w:t>
      </w:r>
      <w:r w:rsidR="00892B3A">
        <w:rPr>
          <w:sz w:val="20"/>
          <w:szCs w:val="20"/>
        </w:rPr>
        <w:t xml:space="preserve"> who complete the program with the knowledge, skills and professional attributes to practise the profession</w:t>
      </w:r>
    </w:p>
    <w:p w:rsidR="00DF5DC1" w:rsidRDefault="00DF5DC1" w:rsidP="00DF5DC1">
      <w:pPr>
        <w:pStyle w:val="Default"/>
        <w:rPr>
          <w:sz w:val="20"/>
          <w:szCs w:val="20"/>
        </w:rPr>
      </w:pPr>
    </w:p>
    <w:p w:rsidR="00725F23" w:rsidRDefault="00DF5DC1" w:rsidP="00725F23">
      <w:pPr>
        <w:rPr>
          <w:rFonts w:cs="Arial"/>
          <w:i/>
          <w:sz w:val="20"/>
          <w:szCs w:val="20"/>
        </w:rPr>
      </w:pPr>
      <w:r>
        <w:rPr>
          <w:sz w:val="20"/>
          <w:szCs w:val="20"/>
        </w:rPr>
        <w:t xml:space="preserve">ANZPAC recently </w:t>
      </w:r>
      <w:r w:rsidR="00725F23">
        <w:rPr>
          <w:sz w:val="20"/>
          <w:szCs w:val="20"/>
        </w:rPr>
        <w:t>completed</w:t>
      </w:r>
      <w:r>
        <w:rPr>
          <w:sz w:val="20"/>
          <w:szCs w:val="20"/>
        </w:rPr>
        <w:t xml:space="preserve"> the scheduled review of</w:t>
      </w:r>
      <w:r w:rsidR="00725F23">
        <w:rPr>
          <w:sz w:val="20"/>
          <w:szCs w:val="20"/>
        </w:rPr>
        <w:t xml:space="preserve"> the </w:t>
      </w:r>
      <w:r w:rsidR="00725F23" w:rsidRPr="00725F23">
        <w:rPr>
          <w:rFonts w:cs="Arial"/>
          <w:i/>
          <w:sz w:val="20"/>
          <w:szCs w:val="20"/>
        </w:rPr>
        <w:t>Accreditation Standards for Podiatry Programs for Australia and New Zealand</w:t>
      </w:r>
      <w:r w:rsidR="00725F23">
        <w:rPr>
          <w:rFonts w:cs="Arial"/>
          <w:i/>
          <w:sz w:val="20"/>
          <w:szCs w:val="20"/>
        </w:rPr>
        <w:t xml:space="preserve">, </w:t>
      </w:r>
      <w:r w:rsidR="00725F23">
        <w:rPr>
          <w:rFonts w:cs="Arial"/>
          <w:sz w:val="20"/>
          <w:szCs w:val="20"/>
        </w:rPr>
        <w:t>and</w:t>
      </w:r>
      <w:r w:rsidR="00725F23" w:rsidRPr="00725F23">
        <w:rPr>
          <w:rFonts w:cs="Arial"/>
          <w:sz w:val="20"/>
          <w:szCs w:val="20"/>
        </w:rPr>
        <w:t xml:space="preserve"> the</w:t>
      </w:r>
      <w:r w:rsidR="00EF27C1">
        <w:rPr>
          <w:rFonts w:cs="Arial"/>
          <w:i/>
          <w:sz w:val="20"/>
          <w:szCs w:val="20"/>
        </w:rPr>
        <w:t xml:space="preserve"> </w:t>
      </w:r>
      <w:r w:rsidR="00725F23" w:rsidRPr="00725F23">
        <w:rPr>
          <w:rFonts w:cs="Arial"/>
          <w:i/>
          <w:sz w:val="20"/>
          <w:szCs w:val="20"/>
        </w:rPr>
        <w:t>Podiatry Competency Standards for Australia and New Zealand.</w:t>
      </w:r>
    </w:p>
    <w:p w:rsidR="00725F23" w:rsidRPr="00725F23" w:rsidRDefault="00725F23" w:rsidP="00725F23">
      <w:pPr>
        <w:rPr>
          <w:rFonts w:cs="Arial"/>
          <w:i/>
          <w:sz w:val="20"/>
          <w:szCs w:val="20"/>
        </w:rPr>
      </w:pPr>
      <w:r w:rsidRPr="00725F23">
        <w:rPr>
          <w:rFonts w:cs="Arial"/>
          <w:sz w:val="20"/>
          <w:szCs w:val="20"/>
        </w:rPr>
        <w:t xml:space="preserve">The entry-level program accreditation standards specify the criteria against which podiatry programs </w:t>
      </w:r>
      <w:r>
        <w:rPr>
          <w:rFonts w:cs="Arial"/>
          <w:sz w:val="20"/>
          <w:szCs w:val="20"/>
        </w:rPr>
        <w:t xml:space="preserve">of study </w:t>
      </w:r>
      <w:r w:rsidRPr="00725F23">
        <w:rPr>
          <w:rFonts w:cs="Arial"/>
          <w:sz w:val="20"/>
          <w:szCs w:val="20"/>
        </w:rPr>
        <w:t>are evaluated. The podiatry competency standards are used for a range of purposes, including program accreditation, and describe the professional attributes and core competencies of entry-level podiatrists.</w:t>
      </w:r>
    </w:p>
    <w:p w:rsidR="00725F23" w:rsidRPr="00725F23" w:rsidRDefault="00725F23" w:rsidP="00725F23">
      <w:pPr>
        <w:rPr>
          <w:rFonts w:cs="Arial"/>
        </w:rPr>
      </w:pPr>
      <w:r w:rsidRPr="00725F23">
        <w:rPr>
          <w:rFonts w:cs="Arial"/>
          <w:sz w:val="20"/>
          <w:szCs w:val="20"/>
        </w:rPr>
        <w:t xml:space="preserve">The review </w:t>
      </w:r>
      <w:r>
        <w:rPr>
          <w:rFonts w:cs="Arial"/>
          <w:sz w:val="20"/>
          <w:szCs w:val="20"/>
        </w:rPr>
        <w:t xml:space="preserve">was undertaken </w:t>
      </w:r>
      <w:r w:rsidRPr="00725F23">
        <w:rPr>
          <w:rFonts w:cs="Arial"/>
          <w:sz w:val="20"/>
          <w:szCs w:val="20"/>
        </w:rPr>
        <w:t>to ensure that both sets of standards continue to represent contemporary best practice, benchmark well against other health profession standards nationally and internationally and remain relevant and effective over time. Throughout the review, AN</w:t>
      </w:r>
      <w:r w:rsidR="00892B3A">
        <w:rPr>
          <w:rFonts w:cs="Arial"/>
          <w:sz w:val="20"/>
          <w:szCs w:val="20"/>
        </w:rPr>
        <w:t xml:space="preserve">ZPAC </w:t>
      </w:r>
      <w:r>
        <w:rPr>
          <w:rFonts w:cs="Arial"/>
          <w:sz w:val="20"/>
          <w:szCs w:val="20"/>
        </w:rPr>
        <w:t>undertook</w:t>
      </w:r>
      <w:r w:rsidRPr="00725F23">
        <w:rPr>
          <w:rFonts w:cs="Arial"/>
          <w:sz w:val="20"/>
          <w:szCs w:val="20"/>
        </w:rPr>
        <w:t xml:space="preserve"> wide-ranging </w:t>
      </w:r>
      <w:r w:rsidR="00892B3A">
        <w:rPr>
          <w:rFonts w:cs="Arial"/>
          <w:sz w:val="20"/>
          <w:szCs w:val="20"/>
        </w:rPr>
        <w:t xml:space="preserve">public </w:t>
      </w:r>
      <w:r w:rsidRPr="00725F23">
        <w:rPr>
          <w:rFonts w:cs="Arial"/>
          <w:sz w:val="20"/>
          <w:szCs w:val="20"/>
        </w:rPr>
        <w:t>consultation.</w:t>
      </w:r>
    </w:p>
    <w:p w:rsidR="00DF5DC1" w:rsidRDefault="00892B3A" w:rsidP="00EF27C1">
      <w:pPr>
        <w:rPr>
          <w:sz w:val="20"/>
          <w:szCs w:val="20"/>
        </w:rPr>
      </w:pPr>
      <w:r>
        <w:t xml:space="preserve"> </w:t>
      </w:r>
      <w:r>
        <w:rPr>
          <w:sz w:val="20"/>
          <w:szCs w:val="20"/>
        </w:rPr>
        <w:t xml:space="preserve">ANZPAC considered the feedback received from stakeholders during the public consultation when finalising the standards for submission to the Board.  </w:t>
      </w:r>
      <w:r w:rsidR="00EF27C1">
        <w:rPr>
          <w:rFonts w:cs="Arial"/>
          <w:sz w:val="20"/>
          <w:szCs w:val="20"/>
        </w:rPr>
        <w:t>The Board has approved</w:t>
      </w:r>
      <w:r w:rsidRPr="00892B3A">
        <w:rPr>
          <w:rFonts w:cs="Arial"/>
          <w:sz w:val="20"/>
          <w:szCs w:val="20"/>
        </w:rPr>
        <w:t xml:space="preserve"> the revised </w:t>
      </w:r>
      <w:r w:rsidRPr="00892B3A">
        <w:rPr>
          <w:rFonts w:cs="Arial"/>
          <w:i/>
          <w:sz w:val="20"/>
          <w:szCs w:val="20"/>
        </w:rPr>
        <w:t>Accreditation Standards for Podiatry Programs for Australia and New Zealand</w:t>
      </w:r>
      <w:r w:rsidR="00EF27C1">
        <w:rPr>
          <w:rFonts w:cs="Arial"/>
          <w:i/>
          <w:sz w:val="20"/>
          <w:szCs w:val="20"/>
        </w:rPr>
        <w:t xml:space="preserve">. </w:t>
      </w:r>
      <w:r w:rsidR="00DF5DC1">
        <w:rPr>
          <w:sz w:val="20"/>
          <w:szCs w:val="20"/>
        </w:rPr>
        <w:t>The</w:t>
      </w:r>
      <w:r w:rsidR="00EF27C1">
        <w:rPr>
          <w:sz w:val="20"/>
          <w:szCs w:val="20"/>
        </w:rPr>
        <w:t>y</w:t>
      </w:r>
      <w:r w:rsidR="00DF5DC1">
        <w:rPr>
          <w:sz w:val="20"/>
          <w:szCs w:val="20"/>
        </w:rPr>
        <w:t xml:space="preserve"> will be published on the Board’s website under the ‘</w:t>
      </w:r>
      <w:r w:rsidR="00DF5DC1">
        <w:rPr>
          <w:i/>
          <w:iCs/>
          <w:sz w:val="20"/>
          <w:szCs w:val="20"/>
        </w:rPr>
        <w:t>Accreditation</w:t>
      </w:r>
      <w:r w:rsidR="00DF5DC1">
        <w:rPr>
          <w:sz w:val="20"/>
          <w:szCs w:val="20"/>
        </w:rPr>
        <w:t>’ tab and take effect on the day they are published on the Board’s website.</w:t>
      </w:r>
    </w:p>
    <w:p w:rsidR="00EF27C1" w:rsidRDefault="00EF27C1" w:rsidP="00EF27C1">
      <w:pPr>
        <w:rPr>
          <w:rFonts w:cs="Arial"/>
          <w:i/>
          <w:sz w:val="20"/>
          <w:szCs w:val="20"/>
        </w:rPr>
      </w:pPr>
      <w:r>
        <w:rPr>
          <w:sz w:val="20"/>
          <w:szCs w:val="20"/>
        </w:rPr>
        <w:t xml:space="preserve">The Board also approved the revised </w:t>
      </w:r>
      <w:r w:rsidRPr="00725F23">
        <w:rPr>
          <w:rFonts w:cs="Arial"/>
          <w:i/>
          <w:sz w:val="20"/>
          <w:szCs w:val="20"/>
        </w:rPr>
        <w:t>Podiatry Competency Standards for Australia and New Zealand.</w:t>
      </w:r>
    </w:p>
    <w:p w:rsidR="004B36DC" w:rsidRPr="00C7163C" w:rsidRDefault="004B36DC" w:rsidP="004B36DC">
      <w:pPr>
        <w:pStyle w:val="AHPRASubheading"/>
      </w:pPr>
      <w:r w:rsidRPr="00205F96">
        <w:t>Accreditation and approval of programs of study</w:t>
      </w:r>
      <w:r w:rsidRPr="00C7163C">
        <w:t xml:space="preserve"> for the podiatry profession</w:t>
      </w:r>
    </w:p>
    <w:p w:rsidR="004B36DC" w:rsidRDefault="004B36DC" w:rsidP="004B36DC">
      <w:pPr>
        <w:pStyle w:val="Default"/>
        <w:rPr>
          <w:sz w:val="20"/>
          <w:szCs w:val="20"/>
        </w:rPr>
      </w:pPr>
      <w:r>
        <w:rPr>
          <w:sz w:val="20"/>
          <w:szCs w:val="20"/>
        </w:rPr>
        <w:t xml:space="preserve">One of the objectives of the National Law is to facilitate the provision of high quality education and training of health practitioners. The National Law sets out the roles of the Board and its appointed accreditation </w:t>
      </w:r>
      <w:r>
        <w:rPr>
          <w:sz w:val="20"/>
          <w:szCs w:val="20"/>
        </w:rPr>
        <w:lastRenderedPageBreak/>
        <w:t xml:space="preserve">authority, ANZPAC, in relation to the accreditation and approval of education providers and programs of study for the podiatry profession. </w:t>
      </w:r>
    </w:p>
    <w:p w:rsidR="007E7837" w:rsidRDefault="007E7837" w:rsidP="007E7837">
      <w:pPr>
        <w:pStyle w:val="Default"/>
        <w:rPr>
          <w:szCs w:val="20"/>
        </w:rPr>
      </w:pPr>
    </w:p>
    <w:p w:rsidR="007E7837" w:rsidRPr="007E7837" w:rsidRDefault="004B36DC" w:rsidP="007E7837">
      <w:pPr>
        <w:pStyle w:val="Default"/>
        <w:rPr>
          <w:sz w:val="20"/>
          <w:szCs w:val="20"/>
        </w:rPr>
      </w:pPr>
      <w:r w:rsidRPr="007E7837">
        <w:rPr>
          <w:sz w:val="20"/>
          <w:szCs w:val="20"/>
        </w:rPr>
        <w:t xml:space="preserve">ANZPAC is responsible for accrediting individual programs of study </w:t>
      </w:r>
      <w:r w:rsidR="007E7837">
        <w:rPr>
          <w:sz w:val="20"/>
          <w:szCs w:val="20"/>
        </w:rPr>
        <w:t>if</w:t>
      </w:r>
      <w:r w:rsidRPr="007E7837">
        <w:rPr>
          <w:sz w:val="20"/>
          <w:szCs w:val="20"/>
        </w:rPr>
        <w:t xml:space="preserve"> it is reasonably satisfied that the program of study and the education provider that provides the program of study</w:t>
      </w:r>
      <w:r w:rsidR="007E7837" w:rsidRPr="007E7837">
        <w:rPr>
          <w:sz w:val="20"/>
          <w:szCs w:val="20"/>
        </w:rPr>
        <w:t xml:space="preserve"> meet, or substantially meet an approved accreditation standard and the imposition of conditions on the accreditation will ensure the program meets the standard within a reasonable time. </w:t>
      </w:r>
    </w:p>
    <w:p w:rsidR="004B36DC" w:rsidRDefault="004B36DC" w:rsidP="004B36DC">
      <w:pPr>
        <w:pStyle w:val="Default"/>
        <w:rPr>
          <w:sz w:val="20"/>
          <w:szCs w:val="20"/>
        </w:rPr>
      </w:pPr>
    </w:p>
    <w:p w:rsidR="004B36DC" w:rsidRDefault="004B36DC" w:rsidP="004B36DC">
      <w:pPr>
        <w:pStyle w:val="Default"/>
        <w:spacing w:after="240"/>
        <w:rPr>
          <w:sz w:val="20"/>
          <w:szCs w:val="20"/>
        </w:rPr>
      </w:pPr>
      <w:r>
        <w:rPr>
          <w:sz w:val="20"/>
          <w:szCs w:val="20"/>
        </w:rPr>
        <w:t xml:space="preserve">ANZPAC is required to give the Board a report after it decides to accredit a program of study (with or without conditions). After being given an accreditation report, the Board may approve, or refuse to approve, the accredited program of study as providing a qualification for the purposes of registration or endorsement. An approval may be granted subject to conditions. </w:t>
      </w:r>
    </w:p>
    <w:p w:rsidR="004B36DC" w:rsidRDefault="004B36DC" w:rsidP="004B36DC">
      <w:pPr>
        <w:pStyle w:val="AHPRAbody"/>
        <w:tabs>
          <w:tab w:val="left" w:pos="426"/>
        </w:tabs>
        <w:ind w:left="420" w:hanging="420"/>
        <w:rPr>
          <w:szCs w:val="20"/>
        </w:rPr>
      </w:pPr>
      <w:r>
        <w:rPr>
          <w:szCs w:val="20"/>
        </w:rPr>
        <w:t xml:space="preserve">Programs of study approved by the Board are published under </w:t>
      </w:r>
      <w:hyperlink r:id="rId8" w:history="1">
        <w:r>
          <w:rPr>
            <w:rStyle w:val="Hyperlink"/>
            <w:i/>
            <w:iCs/>
            <w:szCs w:val="20"/>
          </w:rPr>
          <w:t>Accreditation</w:t>
        </w:r>
      </w:hyperlink>
      <w:r>
        <w:rPr>
          <w:i/>
          <w:iCs/>
          <w:szCs w:val="20"/>
        </w:rPr>
        <w:t xml:space="preserve">  </w:t>
      </w:r>
      <w:r>
        <w:rPr>
          <w:szCs w:val="20"/>
        </w:rPr>
        <w:t>on the Board’s website.</w:t>
      </w:r>
    </w:p>
    <w:p w:rsidR="007E7837" w:rsidRDefault="007E7837" w:rsidP="007E7837">
      <w:pPr>
        <w:pStyle w:val="AHPRAbody"/>
        <w:tabs>
          <w:tab w:val="left" w:pos="0"/>
        </w:tabs>
        <w:rPr>
          <w:szCs w:val="20"/>
        </w:rPr>
      </w:pPr>
      <w:r>
        <w:rPr>
          <w:szCs w:val="20"/>
        </w:rPr>
        <w:t>After considering reports on accreditation provided by ANZPAC, the Board approved the following programs of study.</w:t>
      </w:r>
    </w:p>
    <w:p w:rsidR="004B36DC" w:rsidRDefault="004B36DC" w:rsidP="004B36DC">
      <w:pPr>
        <w:pStyle w:val="AHPRASubheading"/>
        <w:rPr>
          <w:b w:val="0"/>
        </w:rPr>
      </w:pPr>
      <w:r w:rsidRPr="004B36DC">
        <w:rPr>
          <w:b w:val="0"/>
        </w:rPr>
        <w:t>Queensland University of Technology (QUT</w:t>
      </w:r>
      <w:r w:rsidR="007E7837">
        <w:rPr>
          <w:b w:val="0"/>
        </w:rPr>
        <w:t xml:space="preserve">) </w:t>
      </w:r>
    </w:p>
    <w:p w:rsidR="004B36DC" w:rsidRPr="004B36DC" w:rsidRDefault="004B36DC" w:rsidP="004B36DC">
      <w:pPr>
        <w:pStyle w:val="AHPRASubheading"/>
        <w:rPr>
          <w:b w:val="0"/>
          <w:color w:val="auto"/>
        </w:rPr>
      </w:pPr>
      <w:r w:rsidRPr="004B36DC">
        <w:rPr>
          <w:b w:val="0"/>
          <w:color w:val="auto"/>
          <w:szCs w:val="20"/>
        </w:rPr>
        <w:t>The Board approved</w:t>
      </w:r>
      <w:r w:rsidRPr="004B36DC">
        <w:rPr>
          <w:rFonts w:cs="Arial"/>
          <w:b w:val="0"/>
          <w:color w:val="auto"/>
          <w:szCs w:val="20"/>
        </w:rPr>
        <w:t xml:space="preserve"> until </w:t>
      </w:r>
      <w:r w:rsidRPr="004B36DC">
        <w:rPr>
          <w:b w:val="0"/>
          <w:color w:val="auto"/>
          <w:szCs w:val="20"/>
        </w:rPr>
        <w:t xml:space="preserve">26 February 2020 </w:t>
      </w:r>
      <w:r w:rsidRPr="004B36DC">
        <w:rPr>
          <w:rFonts w:cs="Arial"/>
          <w:b w:val="0"/>
          <w:color w:val="auto"/>
          <w:szCs w:val="20"/>
        </w:rPr>
        <w:t xml:space="preserve">the </w:t>
      </w:r>
      <w:r w:rsidRPr="004B36DC">
        <w:rPr>
          <w:b w:val="0"/>
          <w:color w:val="auto"/>
          <w:szCs w:val="20"/>
        </w:rPr>
        <w:t xml:space="preserve">Graduate Certificate of Podiatric Therapeutics program of study offered by the </w:t>
      </w:r>
      <w:r>
        <w:rPr>
          <w:b w:val="0"/>
          <w:color w:val="auto"/>
          <w:szCs w:val="20"/>
        </w:rPr>
        <w:t>Queensland University of Technology</w:t>
      </w:r>
      <w:r w:rsidRPr="004B36DC">
        <w:rPr>
          <w:b w:val="0"/>
          <w:color w:val="auto"/>
          <w:szCs w:val="20"/>
        </w:rPr>
        <w:t xml:space="preserve"> </w:t>
      </w:r>
      <w:r w:rsidRPr="004B36DC">
        <w:rPr>
          <w:rFonts w:cs="Arial"/>
          <w:b w:val="0"/>
          <w:color w:val="auto"/>
          <w:szCs w:val="20"/>
        </w:rPr>
        <w:t>as providing a qualification in podiatric therapeutics for the purpose of an endorsement for scheduled medicines</w:t>
      </w:r>
      <w:r w:rsidR="00DF5DC1">
        <w:rPr>
          <w:rFonts w:cs="Arial"/>
          <w:b w:val="0"/>
          <w:color w:val="auto"/>
          <w:szCs w:val="20"/>
        </w:rPr>
        <w:t>.</w:t>
      </w:r>
    </w:p>
    <w:p w:rsidR="004B36DC" w:rsidRPr="004B36DC" w:rsidRDefault="004B36DC" w:rsidP="004B36DC">
      <w:pPr>
        <w:pStyle w:val="AHPRASubheading"/>
        <w:rPr>
          <w:rFonts w:cs="Arial"/>
          <w:b w:val="0"/>
          <w:color w:val="000000"/>
          <w:szCs w:val="20"/>
          <w:lang w:eastAsia="en-AU"/>
        </w:rPr>
      </w:pPr>
      <w:r w:rsidRPr="004B36DC">
        <w:rPr>
          <w:b w:val="0"/>
        </w:rPr>
        <w:t xml:space="preserve">ACPS </w:t>
      </w:r>
      <w:r w:rsidRPr="004B36DC">
        <w:rPr>
          <w:rFonts w:cs="Arial"/>
          <w:b w:val="0"/>
          <w:szCs w:val="20"/>
        </w:rPr>
        <w:t xml:space="preserve">Fellowship Training Program </w:t>
      </w:r>
    </w:p>
    <w:p w:rsidR="004B36DC" w:rsidRDefault="004B36DC" w:rsidP="004B36DC">
      <w:pPr>
        <w:pStyle w:val="AHPRANumberedlistlevel1"/>
        <w:numPr>
          <w:ilvl w:val="0"/>
          <w:numId w:val="0"/>
        </w:numPr>
        <w:spacing w:after="200"/>
        <w:contextualSpacing/>
        <w:rPr>
          <w:rFonts w:cs="Arial"/>
          <w:szCs w:val="20"/>
        </w:rPr>
      </w:pPr>
      <w:r>
        <w:rPr>
          <w:rFonts w:cs="Arial"/>
          <w:szCs w:val="20"/>
        </w:rPr>
        <w:t xml:space="preserve">The Board approved until 26 February 2020, the Fellowship Training Program offered by the Australasian College of Podiatric Surgery (ACPS) as providing a qualification for the purpose of specialist registration as a podiatric surgeon. </w:t>
      </w:r>
    </w:p>
    <w:p w:rsidR="00F97880" w:rsidRPr="007E7837" w:rsidRDefault="00F97880" w:rsidP="00F97880">
      <w:pPr>
        <w:spacing w:before="270" w:after="270" w:line="270" w:lineRule="atLeast"/>
        <w:ind w:right="270"/>
        <w:outlineLvl w:val="3"/>
        <w:rPr>
          <w:b/>
          <w:color w:val="007DC3"/>
          <w:sz w:val="20"/>
        </w:rPr>
      </w:pPr>
      <w:r w:rsidRPr="007E7837">
        <w:rPr>
          <w:b/>
          <w:color w:val="007DC3"/>
          <w:sz w:val="20"/>
        </w:rPr>
        <w:t>Health ministers to consider the review report in August</w:t>
      </w:r>
    </w:p>
    <w:p w:rsidR="00F97880" w:rsidRPr="00F97880" w:rsidRDefault="00F97880" w:rsidP="007E7837">
      <w:pPr>
        <w:pStyle w:val="AHPRABody0"/>
        <w:spacing w:after="200"/>
      </w:pPr>
      <w:r w:rsidRPr="00F97880">
        <w:t xml:space="preserve">Federal and state and territory health ministers will respond to the report of the review of the National Scheme in August this year. </w:t>
      </w:r>
    </w:p>
    <w:p w:rsidR="00F97880" w:rsidRPr="00F97880" w:rsidRDefault="00F97880" w:rsidP="007E7837">
      <w:pPr>
        <w:pStyle w:val="AHPRABody0"/>
        <w:spacing w:after="200"/>
      </w:pPr>
      <w:r w:rsidRPr="00F97880">
        <w:t xml:space="preserve">Ministers met in mid-April at the COAG Health Council to discuss a range of national health issues, including the final report of the National Registration and Accreditation Scheme (NRAS) Review. The independent review was conducted by Kim Snowball, the former Director General of Health in WA. It involved an extensive consultation process that included more than 230 written submissions and more than 1,000 individuals participating in consultation forums in each capital city. </w:t>
      </w:r>
    </w:p>
    <w:p w:rsidR="00F97880" w:rsidRPr="00F97880" w:rsidRDefault="00F97880" w:rsidP="007E7837">
      <w:pPr>
        <w:pStyle w:val="AHPRABody0"/>
        <w:spacing w:after="200"/>
      </w:pPr>
      <w:r w:rsidRPr="00F97880">
        <w:t xml:space="preserve">The review aimed to identify what was working well in the National Scheme and opportunities to improve and strengthen our work to protect the public and facilitate access to health services. According to the report of the meeting, health ministers will consider the recommendations from the NRAS Review and discuss them further at their meeting in August 2015. </w:t>
      </w:r>
    </w:p>
    <w:p w:rsidR="00F97880" w:rsidRDefault="00F97880" w:rsidP="00F97880">
      <w:pPr>
        <w:spacing w:before="270" w:after="270" w:line="270" w:lineRule="atLeast"/>
        <w:ind w:right="270"/>
        <w:rPr>
          <w:rFonts w:cs="Arial"/>
          <w:color w:val="444444"/>
          <w:sz w:val="20"/>
          <w:szCs w:val="20"/>
        </w:rPr>
      </w:pPr>
      <w:r w:rsidRPr="00F97880">
        <w:rPr>
          <w:rFonts w:cs="Arial"/>
          <w:sz w:val="20"/>
          <w:szCs w:val="20"/>
        </w:rPr>
        <w:t xml:space="preserve">The </w:t>
      </w:r>
      <w:r w:rsidRPr="00F97880">
        <w:rPr>
          <w:rFonts w:cs="Arial"/>
          <w:i/>
          <w:iCs/>
          <w:sz w:val="20"/>
          <w:szCs w:val="20"/>
        </w:rPr>
        <w:t>COAG Health Council communiqué</w:t>
      </w:r>
      <w:r w:rsidRPr="00F97880">
        <w:rPr>
          <w:rFonts w:cs="Arial"/>
          <w:sz w:val="20"/>
          <w:szCs w:val="20"/>
        </w:rPr>
        <w:t xml:space="preserve"> is available on the</w:t>
      </w:r>
      <w:r>
        <w:rPr>
          <w:rFonts w:cs="Arial"/>
          <w:color w:val="444444"/>
          <w:sz w:val="20"/>
          <w:szCs w:val="20"/>
        </w:rPr>
        <w:t xml:space="preserve"> </w:t>
      </w:r>
      <w:hyperlink r:id="rId9" w:tgtFrame="_blank" w:history="1">
        <w:r>
          <w:rPr>
            <w:rStyle w:val="Hyperlink"/>
            <w:rFonts w:cs="Arial"/>
            <w:sz w:val="20"/>
            <w:szCs w:val="20"/>
          </w:rPr>
          <w:t>COAG Health Council website</w:t>
        </w:r>
      </w:hyperlink>
      <w:r>
        <w:rPr>
          <w:rFonts w:cs="Arial"/>
          <w:color w:val="444444"/>
          <w:sz w:val="20"/>
          <w:szCs w:val="20"/>
        </w:rPr>
        <w:t xml:space="preserve">. </w:t>
      </w:r>
    </w:p>
    <w:p w:rsidR="00F97880" w:rsidRPr="00985BD9" w:rsidRDefault="00F97880" w:rsidP="00F97880">
      <w:pPr>
        <w:pStyle w:val="AHPRAbody"/>
        <w:tabs>
          <w:tab w:val="left" w:pos="0"/>
        </w:tabs>
        <w:rPr>
          <w:b/>
          <w:bCs/>
          <w:color w:val="008EC4"/>
          <w:szCs w:val="20"/>
        </w:rPr>
      </w:pPr>
      <w:r w:rsidRPr="00985BD9">
        <w:rPr>
          <w:b/>
          <w:bCs/>
          <w:color w:val="008EC4"/>
          <w:szCs w:val="20"/>
        </w:rPr>
        <w:t>Improving monitoring of conditions on practitioner registration</w:t>
      </w:r>
    </w:p>
    <w:p w:rsidR="00F97880" w:rsidRDefault="00F97880" w:rsidP="00F97880">
      <w:pPr>
        <w:pStyle w:val="AHPRABody0"/>
        <w:spacing w:after="200"/>
      </w:pPr>
      <w:r>
        <w:t>AHPRA has welcomed calls for stringent monitoring and swift detection of breaches in compliance by registered health practitioners with restrictions on their registration.</w:t>
      </w:r>
    </w:p>
    <w:p w:rsidR="00F97880" w:rsidRDefault="00F97880" w:rsidP="00F97880">
      <w:pPr>
        <w:pStyle w:val="AHPRABody0"/>
        <w:spacing w:after="200"/>
      </w:pPr>
      <w:r>
        <w:t>On 24 March 2015, the Queensland Office of the Health Ombudsman (OHO) published a report recommending a range of initiatives to strengthen monitoring and compliance in Queensland and the National Scheme.</w:t>
      </w:r>
    </w:p>
    <w:p w:rsidR="00F97880" w:rsidRDefault="00F97880" w:rsidP="00F97880">
      <w:pPr>
        <w:pStyle w:val="AHPRABody0"/>
        <w:spacing w:after="200"/>
      </w:pPr>
      <w:r>
        <w:t>The report’s recommendations affirm the sweeping changes AHPRA has already initiated to strengthen its compliance and monitoring program.</w:t>
      </w:r>
    </w:p>
    <w:p w:rsidR="00F97880" w:rsidRDefault="00F97880" w:rsidP="00F97880">
      <w:pPr>
        <w:pStyle w:val="AHPRABody0"/>
        <w:spacing w:after="200"/>
      </w:pPr>
      <w:r>
        <w:t xml:space="preserve">AHPRA’s detailed response to the OHO and the recommendations in the report is published in the </w:t>
      </w:r>
      <w:hyperlink r:id="rId10" w:anchor="submissions" w:history="1">
        <w:r>
          <w:rPr>
            <w:rStyle w:val="Hyperlink"/>
          </w:rPr>
          <w:t>Corporate publications</w:t>
        </w:r>
      </w:hyperlink>
      <w:r>
        <w:t xml:space="preserve"> section of AHPRA’s website.</w:t>
      </w:r>
    </w:p>
    <w:p w:rsidR="00F97880" w:rsidRDefault="00F97880" w:rsidP="00F97880">
      <w:pPr>
        <w:pStyle w:val="AHPRABody0"/>
        <w:spacing w:after="200"/>
      </w:pPr>
      <w:r>
        <w:lastRenderedPageBreak/>
        <w:t>Since July 2014, health complaints management in Queensland for registered health practitioners has involved a partnership between National Boards, AHPRA and the OHO.</w:t>
      </w:r>
    </w:p>
    <w:p w:rsidR="00F97880" w:rsidRDefault="00F97880" w:rsidP="00F97880">
      <w:pPr>
        <w:pStyle w:val="AHPRABody0"/>
        <w:spacing w:after="200"/>
      </w:pPr>
      <w:r>
        <w:t>Improvements to compliance monitoring add to the overhaul of complaints management in Queensland that started in 2012. Recent initiatives include preparation for stricter drug and alcohol screening announced in February 2015, the appointment of a national compliance manager and stronger national coordination of the compliance function.</w:t>
      </w:r>
    </w:p>
    <w:p w:rsidR="00F97880" w:rsidRDefault="00F97880" w:rsidP="00F97880">
      <w:pPr>
        <w:pStyle w:val="AHPRABody0"/>
        <w:spacing w:after="200"/>
      </w:pPr>
      <w:r>
        <w:t xml:space="preserve">For more information, please read the </w:t>
      </w:r>
      <w:hyperlink r:id="rId11" w:history="1">
        <w:r>
          <w:rPr>
            <w:rStyle w:val="Hyperlink"/>
          </w:rPr>
          <w:t>media release</w:t>
        </w:r>
      </w:hyperlink>
      <w:r>
        <w:t xml:space="preserve"> on AHPRA’s website. </w:t>
      </w:r>
    </w:p>
    <w:p w:rsidR="00975AA1" w:rsidRPr="000B1523" w:rsidRDefault="00975AA1" w:rsidP="000B1523">
      <w:pPr>
        <w:spacing w:before="270" w:after="270" w:line="270" w:lineRule="atLeast"/>
        <w:ind w:right="270"/>
        <w:rPr>
          <w:rFonts w:cs="Arial"/>
          <w:b/>
          <w:bCs/>
          <w:color w:val="008EC4"/>
          <w:sz w:val="20"/>
          <w:szCs w:val="20"/>
        </w:rPr>
      </w:pPr>
      <w:r w:rsidRPr="000B1523">
        <w:rPr>
          <w:rFonts w:cs="Arial"/>
          <w:b/>
          <w:bCs/>
          <w:color w:val="008EC4"/>
          <w:sz w:val="20"/>
          <w:szCs w:val="20"/>
        </w:rPr>
        <w:t xml:space="preserve">Further information </w:t>
      </w:r>
    </w:p>
    <w:p w:rsidR="00975AA1" w:rsidRPr="00B478FC" w:rsidRDefault="00975AA1" w:rsidP="00A410B7">
      <w:pPr>
        <w:pStyle w:val="AHPRAbody"/>
        <w:rPr>
          <w:lang w:eastAsia="en-AU"/>
        </w:rPr>
      </w:pPr>
      <w:r w:rsidRPr="00B478FC">
        <w:rPr>
          <w:lang w:eastAsia="en-AU"/>
        </w:rPr>
        <w:t xml:space="preserve">Further information about the Board can be found on </w:t>
      </w:r>
      <w:r w:rsidR="00531C63">
        <w:rPr>
          <w:lang w:eastAsia="en-AU"/>
        </w:rPr>
        <w:t>i</w:t>
      </w:r>
      <w:r w:rsidR="00393DFB">
        <w:rPr>
          <w:lang w:eastAsia="en-AU"/>
        </w:rPr>
        <w:t>t</w:t>
      </w:r>
      <w:r w:rsidR="00531C63">
        <w:rPr>
          <w:lang w:eastAsia="en-AU"/>
        </w:rPr>
        <w:t>s</w:t>
      </w:r>
      <w:r w:rsidR="00393DFB" w:rsidRPr="00B478FC">
        <w:rPr>
          <w:lang w:eastAsia="en-AU"/>
        </w:rPr>
        <w:t xml:space="preserve"> </w:t>
      </w:r>
      <w:hyperlink r:id="rId12" w:history="1">
        <w:r w:rsidRPr="002E3447">
          <w:rPr>
            <w:rStyle w:val="Hyperlink"/>
            <w:lang w:eastAsia="en-AU"/>
          </w:rPr>
          <w:t>website</w:t>
        </w:r>
      </w:hyperlink>
      <w:r w:rsidRPr="00B478FC">
        <w:rPr>
          <w:lang w:eastAsia="en-AU"/>
        </w:rPr>
        <w:t xml:space="preserve"> and practitioners are encouraged to refer to the site for news and updates on </w:t>
      </w:r>
      <w:r w:rsidR="00393DFB">
        <w:rPr>
          <w:lang w:eastAsia="en-AU"/>
        </w:rPr>
        <w:t>p</w:t>
      </w:r>
      <w:r w:rsidR="00393DFB" w:rsidRPr="00B478FC">
        <w:rPr>
          <w:lang w:eastAsia="en-AU"/>
        </w:rPr>
        <w:t>olic</w:t>
      </w:r>
      <w:r w:rsidR="00393DFB">
        <w:rPr>
          <w:lang w:eastAsia="en-AU"/>
        </w:rPr>
        <w:t>ies</w:t>
      </w:r>
      <w:r w:rsidR="00393DFB" w:rsidRPr="00B478FC">
        <w:rPr>
          <w:lang w:eastAsia="en-AU"/>
        </w:rPr>
        <w:t xml:space="preserve"> </w:t>
      </w:r>
      <w:r w:rsidRPr="00B478FC">
        <w:rPr>
          <w:lang w:eastAsia="en-AU"/>
        </w:rPr>
        <w:t xml:space="preserve">and </w:t>
      </w:r>
      <w:r w:rsidR="00393DFB">
        <w:rPr>
          <w:lang w:eastAsia="en-AU"/>
        </w:rPr>
        <w:t>g</w:t>
      </w:r>
      <w:r w:rsidR="00393DFB" w:rsidRPr="00B478FC">
        <w:rPr>
          <w:lang w:eastAsia="en-AU"/>
        </w:rPr>
        <w:t xml:space="preserve">uidelines </w:t>
      </w:r>
      <w:r w:rsidRPr="00B478FC">
        <w:rPr>
          <w:lang w:eastAsia="en-AU"/>
        </w:rPr>
        <w:t xml:space="preserve">affecting their profession.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E77E23" w:rsidRPr="000E7E28" w:rsidRDefault="00E73D8C" w:rsidP="00975AA1">
      <w:r w:rsidRPr="00E73D8C">
        <w:rPr>
          <w:rFonts w:cs="Arial"/>
          <w:color w:val="000000"/>
          <w:sz w:val="20"/>
          <w:szCs w:val="20"/>
          <w:lang w:eastAsia="en-AU"/>
        </w:rPr>
        <w:t>4</w:t>
      </w:r>
      <w:r w:rsidR="00650A78" w:rsidRPr="00E73D8C">
        <w:rPr>
          <w:rFonts w:cs="Arial"/>
          <w:color w:val="000000"/>
          <w:sz w:val="20"/>
          <w:szCs w:val="20"/>
          <w:lang w:eastAsia="en-AU"/>
        </w:rPr>
        <w:t xml:space="preserve"> May</w:t>
      </w:r>
      <w:r w:rsidR="00AC0415" w:rsidRPr="00E73D8C">
        <w:rPr>
          <w:rFonts w:cs="Arial"/>
          <w:color w:val="000000"/>
          <w:sz w:val="20"/>
          <w:szCs w:val="20"/>
          <w:lang w:eastAsia="en-AU"/>
        </w:rPr>
        <w:t xml:space="preserve"> 2015</w:t>
      </w:r>
    </w:p>
    <w:sectPr w:rsidR="00E77E23" w:rsidRPr="000E7E28" w:rsidSect="004B438E">
      <w:headerReference w:type="default" r:id="rId13"/>
      <w:footerReference w:type="even" r:id="rId14"/>
      <w:footerReference w:type="default" r:id="rId15"/>
      <w:headerReference w:type="first" r:id="rId16"/>
      <w:footerReference w:type="first" r:id="rId17"/>
      <w:pgSz w:w="11900" w:h="16840"/>
      <w:pgMar w:top="1392"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D8" w:rsidRDefault="00B361D8" w:rsidP="00FC2881">
      <w:pPr>
        <w:spacing w:after="0"/>
      </w:pPr>
      <w:r>
        <w:separator/>
      </w:r>
    </w:p>
    <w:p w:rsidR="00B361D8" w:rsidRDefault="00B361D8"/>
  </w:endnote>
  <w:endnote w:type="continuationSeparator" w:id="0">
    <w:p w:rsidR="00B361D8" w:rsidRDefault="00B361D8" w:rsidP="00FC2881">
      <w:pPr>
        <w:spacing w:after="0"/>
      </w:pPr>
      <w:r>
        <w:continuationSeparator/>
      </w:r>
    </w:p>
    <w:p w:rsidR="00B361D8" w:rsidRDefault="00B361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80" w:rsidRDefault="00C07F53" w:rsidP="00FC2881">
    <w:pPr>
      <w:pStyle w:val="AHPRAfootnote"/>
      <w:framePr w:wrap="around" w:vAnchor="text" w:hAnchor="margin" w:xAlign="right" w:y="1"/>
    </w:pPr>
    <w:r>
      <w:fldChar w:fldCharType="begin"/>
    </w:r>
    <w:r w:rsidR="00F97880">
      <w:instrText xml:space="preserve">PAGE  </w:instrText>
    </w:r>
    <w:r>
      <w:fldChar w:fldCharType="end"/>
    </w:r>
  </w:p>
  <w:p w:rsidR="00F97880" w:rsidRDefault="00F97880" w:rsidP="00FC2881">
    <w:pPr>
      <w:pStyle w:val="AHPRAfootnote"/>
      <w:ind w:right="360"/>
    </w:pPr>
  </w:p>
  <w:p w:rsidR="00F97880" w:rsidRDefault="00F978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80" w:rsidRPr="000E7E28" w:rsidRDefault="00F97880" w:rsidP="00975AA1">
    <w:pPr>
      <w:pStyle w:val="AHPRApagenumber"/>
      <w:jc w:val="left"/>
    </w:pPr>
    <w:r>
      <w:rPr>
        <w:i/>
        <w:iCs/>
        <w:color w:val="008EC4"/>
        <w:szCs w:val="18"/>
      </w:rPr>
      <w:t>Communiqué: Meeting of the Podiatry Board of Australia held on 25 March 2015</w:t>
    </w:r>
    <w:r>
      <w:rPr>
        <w:i/>
        <w:iCs/>
        <w:color w:val="008EC4"/>
        <w:szCs w:val="18"/>
      </w:rPr>
      <w:tab/>
    </w:r>
    <w:r>
      <w:rPr>
        <w:i/>
        <w:iCs/>
        <w:color w:val="008EC4"/>
        <w:szCs w:val="18"/>
      </w:rPr>
      <w:tab/>
      <w:t xml:space="preserve"> </w:t>
    </w:r>
    <w:sdt>
      <w:sdtPr>
        <w:id w:val="16333165"/>
        <w:docPartObj>
          <w:docPartGallery w:val="Page Numbers (Top of Page)"/>
          <w:docPartUnique/>
        </w:docPartObj>
      </w:sdtPr>
      <w:sdtContent>
        <w:r w:rsidRPr="000E7E28">
          <w:t xml:space="preserve">Page </w:t>
        </w:r>
        <w:r w:rsidR="00C07F53">
          <w:fldChar w:fldCharType="begin"/>
        </w:r>
        <w:r w:rsidR="00B361D8">
          <w:instrText xml:space="preserve"> PAGE </w:instrText>
        </w:r>
        <w:r w:rsidR="00C07F53">
          <w:fldChar w:fldCharType="separate"/>
        </w:r>
        <w:r w:rsidR="00304BCB">
          <w:rPr>
            <w:noProof/>
          </w:rPr>
          <w:t>2</w:t>
        </w:r>
        <w:r w:rsidR="00C07F53">
          <w:rPr>
            <w:noProof/>
          </w:rPr>
          <w:fldChar w:fldCharType="end"/>
        </w:r>
        <w:r w:rsidRPr="000E7E28">
          <w:t xml:space="preserve"> of </w:t>
        </w:r>
        <w:r w:rsidR="00C07F53">
          <w:fldChar w:fldCharType="begin"/>
        </w:r>
        <w:r w:rsidR="00B361D8">
          <w:instrText xml:space="preserve"> NUMPAGES  </w:instrText>
        </w:r>
        <w:r w:rsidR="00C07F53">
          <w:fldChar w:fldCharType="separate"/>
        </w:r>
        <w:r w:rsidR="00304BCB">
          <w:rPr>
            <w:noProof/>
          </w:rPr>
          <w:t>3</w:t>
        </w:r>
        <w:r w:rsidR="00C07F53">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80" w:rsidRPr="004B2A4E" w:rsidRDefault="00F97880" w:rsidP="004B2A4E">
    <w:pPr>
      <w:pStyle w:val="Footer"/>
    </w:pPr>
    <w:r w:rsidRPr="004B2A4E">
      <w:rPr>
        <w:rFonts w:cs="Arial"/>
        <w:color w:val="5F6062"/>
        <w:sz w:val="18"/>
        <w:szCs w:val="20"/>
        <w:lang w:val="en-US"/>
      </w:rPr>
      <w:t xml:space="preserve">The Board is established under the </w:t>
    </w:r>
    <w:r w:rsidRPr="00104EFD">
      <w:rPr>
        <w:rFonts w:cs="Arial"/>
        <w:color w:val="5F6062"/>
        <w:sz w:val="18"/>
        <w:szCs w:val="20"/>
        <w:lang w:val="en-US"/>
      </w:rPr>
      <w:t>Health Practitioner Regulation National Law</w:t>
    </w:r>
    <w:r>
      <w:rPr>
        <w:rFonts w:cs="Arial"/>
        <w:color w:val="5F6062"/>
        <w:sz w:val="18"/>
        <w:szCs w:val="20"/>
        <w:lang w:val="en-US"/>
      </w:rPr>
      <w:t xml:space="preserve">, as in force in each state and territory </w:t>
    </w:r>
    <w:r w:rsidRPr="004B2A4E">
      <w:rPr>
        <w:rFonts w:cs="Arial"/>
        <w:i/>
        <w:color w:val="5F6062"/>
        <w:sz w:val="18"/>
        <w:szCs w:val="20"/>
        <w:lang w:val="en-US"/>
      </w:rPr>
      <w:t>(</w:t>
    </w:r>
    <w:r>
      <w:rPr>
        <w:rFonts w:cs="Arial"/>
        <w:color w:val="5F6062"/>
        <w:sz w:val="18"/>
        <w:szCs w:val="20"/>
        <w:lang w:val="en-US"/>
      </w:rPr>
      <w:t xml:space="preserve">the </w:t>
    </w:r>
    <w:r w:rsidRPr="004B2A4E">
      <w:rPr>
        <w:rFonts w:cs="Arial"/>
        <w:color w:val="5F6062"/>
        <w:sz w:val="18"/>
        <w:szCs w:val="20"/>
        <w:lang w:val="en-US"/>
      </w:rPr>
      <w:t xml:space="preserve">National Law).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D8" w:rsidRDefault="00B361D8" w:rsidP="000E7E28">
      <w:pPr>
        <w:spacing w:after="0"/>
      </w:pPr>
      <w:r>
        <w:separator/>
      </w:r>
    </w:p>
  </w:footnote>
  <w:footnote w:type="continuationSeparator" w:id="0">
    <w:p w:rsidR="00B361D8" w:rsidRDefault="00B361D8" w:rsidP="00FC2881">
      <w:pPr>
        <w:spacing w:after="0"/>
      </w:pPr>
      <w:r>
        <w:continuationSeparator/>
      </w:r>
    </w:p>
    <w:p w:rsidR="00B361D8" w:rsidRDefault="00B361D8"/>
  </w:footnote>
  <w:footnote w:type="continuationNotice" w:id="1">
    <w:p w:rsidR="00B361D8" w:rsidRDefault="00B361D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80" w:rsidRPr="00315933" w:rsidRDefault="00F97880" w:rsidP="00D638E0">
    <w:pPr>
      <w:ind w:left="-1134" w:right="-567"/>
      <w:jc w:val="right"/>
    </w:pPr>
  </w:p>
  <w:p w:rsidR="00F97880" w:rsidRDefault="00F978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80" w:rsidRDefault="00F97880" w:rsidP="00E844A0">
    <w:r>
      <w:rPr>
        <w:noProof/>
        <w:lang w:val="en-US"/>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930" cy="1800225"/>
                  </a:xfrm>
                  <a:prstGeom prst="rect">
                    <a:avLst/>
                  </a:prstGeom>
                  <a:noFill/>
                  <a:ln>
                    <a:noFill/>
                  </a:ln>
                </pic:spPr>
              </pic:pic>
            </a:graphicData>
          </a:graphic>
        </wp:anchor>
      </w:drawing>
    </w:r>
  </w:p>
  <w:p w:rsidR="00F97880" w:rsidRDefault="00F97880" w:rsidP="00E844A0"/>
  <w:p w:rsidR="00F97880" w:rsidRDefault="00F97880" w:rsidP="00975AA1">
    <w:pPr>
      <w:jc w:val="right"/>
    </w:pPr>
  </w:p>
  <w:p w:rsidR="00F97880" w:rsidRDefault="00F97880"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FFFFFF7C"/>
    <w:multiLevelType w:val="singleLevel"/>
    <w:tmpl w:val="F46209C6"/>
    <w:lvl w:ilvl="0">
      <w:start w:val="1"/>
      <w:numFmt w:val="decimal"/>
      <w:lvlText w:val="%1."/>
      <w:lvlJc w:val="left"/>
      <w:pPr>
        <w:tabs>
          <w:tab w:val="num" w:pos="1492"/>
        </w:tabs>
        <w:ind w:left="1492" w:hanging="360"/>
      </w:pPr>
    </w:lvl>
  </w:abstractNum>
  <w:abstractNum w:abstractNumId="1">
    <w:nsid w:val="FFFFFF7D"/>
    <w:multiLevelType w:val="singleLevel"/>
    <w:tmpl w:val="F5F2D596"/>
    <w:lvl w:ilvl="0">
      <w:start w:val="1"/>
      <w:numFmt w:val="decimal"/>
      <w:lvlText w:val="%1."/>
      <w:lvlJc w:val="left"/>
      <w:pPr>
        <w:tabs>
          <w:tab w:val="num" w:pos="1209"/>
        </w:tabs>
        <w:ind w:left="1209" w:hanging="360"/>
      </w:pPr>
    </w:lvl>
  </w:abstractNum>
  <w:abstractNum w:abstractNumId="2">
    <w:nsid w:val="FFFFFF7E"/>
    <w:multiLevelType w:val="singleLevel"/>
    <w:tmpl w:val="29920B0A"/>
    <w:lvl w:ilvl="0">
      <w:start w:val="1"/>
      <w:numFmt w:val="decimal"/>
      <w:lvlText w:val="%1."/>
      <w:lvlJc w:val="left"/>
      <w:pPr>
        <w:tabs>
          <w:tab w:val="num" w:pos="926"/>
        </w:tabs>
        <w:ind w:left="926" w:hanging="360"/>
      </w:pPr>
    </w:lvl>
  </w:abstractNum>
  <w:abstractNum w:abstractNumId="3">
    <w:nsid w:val="FFFFFF7F"/>
    <w:multiLevelType w:val="singleLevel"/>
    <w:tmpl w:val="40D6AF4C"/>
    <w:lvl w:ilvl="0">
      <w:start w:val="1"/>
      <w:numFmt w:val="decimal"/>
      <w:lvlText w:val="%1."/>
      <w:lvlJc w:val="left"/>
      <w:pPr>
        <w:tabs>
          <w:tab w:val="num" w:pos="643"/>
        </w:tabs>
        <w:ind w:left="643" w:hanging="360"/>
      </w:pPr>
    </w:lvl>
  </w:abstractNum>
  <w:abstractNum w:abstractNumId="4">
    <w:nsid w:val="FFFFFF80"/>
    <w:multiLevelType w:val="singleLevel"/>
    <w:tmpl w:val="C3F8A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2E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00C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CC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94DE6E"/>
    <w:lvl w:ilvl="0">
      <w:start w:val="1"/>
      <w:numFmt w:val="decimal"/>
      <w:lvlText w:val="%1."/>
      <w:lvlJc w:val="left"/>
      <w:pPr>
        <w:tabs>
          <w:tab w:val="num" w:pos="360"/>
        </w:tabs>
        <w:ind w:left="360" w:hanging="360"/>
      </w:pPr>
    </w:lvl>
  </w:abstractNum>
  <w:abstractNum w:abstractNumId="9">
    <w:nsid w:val="FFFFFF89"/>
    <w:multiLevelType w:val="singleLevel"/>
    <w:tmpl w:val="0BB8E64C"/>
    <w:lvl w:ilvl="0">
      <w:start w:val="1"/>
      <w:numFmt w:val="bullet"/>
      <w:lvlText w:val=""/>
      <w:lvlJc w:val="left"/>
      <w:pPr>
        <w:tabs>
          <w:tab w:val="num" w:pos="360"/>
        </w:tabs>
        <w:ind w:left="360" w:hanging="360"/>
      </w:pPr>
      <w:rPr>
        <w:rFonts w:ascii="Symbol" w:hAnsi="Symbol" w:hint="default"/>
      </w:rPr>
    </w:lvl>
  </w:abstractNum>
  <w:abstractNum w:abstractNumId="10">
    <w:nsid w:val="08170717"/>
    <w:multiLevelType w:val="multilevel"/>
    <w:tmpl w:val="7D7218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BB17D6"/>
    <w:multiLevelType w:val="multilevel"/>
    <w:tmpl w:val="C4183F12"/>
    <w:numStyleLink w:val="AHPRANumberedlist"/>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1090257E"/>
    <w:multiLevelType w:val="hybridMultilevel"/>
    <w:tmpl w:val="9052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3BB2423"/>
    <w:multiLevelType w:val="hybridMultilevel"/>
    <w:tmpl w:val="9C42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2D19FF"/>
    <w:multiLevelType w:val="multilevel"/>
    <w:tmpl w:val="BE20683A"/>
    <w:numStyleLink w:val="AHPRANumberedheadinglist"/>
  </w:abstractNum>
  <w:abstractNum w:abstractNumId="18">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2822578D"/>
    <w:multiLevelType w:val="multilevel"/>
    <w:tmpl w:val="BE20683A"/>
    <w:numStyleLink w:val="AHPRANumberedheadinglist"/>
  </w:abstractNum>
  <w:abstractNum w:abstractNumId="20">
    <w:nsid w:val="2EBF0E4B"/>
    <w:multiLevelType w:val="hybridMultilevel"/>
    <w:tmpl w:val="3044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A17629"/>
    <w:multiLevelType w:val="hybridMultilevel"/>
    <w:tmpl w:val="DAC66026"/>
    <w:lvl w:ilvl="0" w:tplc="0C090001">
      <w:start w:val="1"/>
      <w:numFmt w:val="bullet"/>
      <w:lvlText w:val=""/>
      <w:lvlJc w:val="left"/>
      <w:pPr>
        <w:ind w:left="368" w:hanging="360"/>
      </w:pPr>
      <w:rPr>
        <w:rFonts w:ascii="Symbol" w:hAnsi="Symbol" w:hint="default"/>
      </w:rPr>
    </w:lvl>
    <w:lvl w:ilvl="1" w:tplc="0C090003">
      <w:start w:val="1"/>
      <w:numFmt w:val="bullet"/>
      <w:lvlText w:val="o"/>
      <w:lvlJc w:val="left"/>
      <w:pPr>
        <w:ind w:left="1088" w:hanging="360"/>
      </w:pPr>
      <w:rPr>
        <w:rFonts w:ascii="Courier New" w:hAnsi="Courier New" w:cs="Courier New" w:hint="default"/>
      </w:rPr>
    </w:lvl>
    <w:lvl w:ilvl="2" w:tplc="0C090005" w:tentative="1">
      <w:start w:val="1"/>
      <w:numFmt w:val="bullet"/>
      <w:lvlText w:val=""/>
      <w:lvlJc w:val="left"/>
      <w:pPr>
        <w:ind w:left="1808" w:hanging="360"/>
      </w:pPr>
      <w:rPr>
        <w:rFonts w:ascii="Wingdings" w:hAnsi="Wingdings" w:hint="default"/>
      </w:rPr>
    </w:lvl>
    <w:lvl w:ilvl="3" w:tplc="0C090001" w:tentative="1">
      <w:start w:val="1"/>
      <w:numFmt w:val="bullet"/>
      <w:lvlText w:val=""/>
      <w:lvlJc w:val="left"/>
      <w:pPr>
        <w:ind w:left="2528" w:hanging="360"/>
      </w:pPr>
      <w:rPr>
        <w:rFonts w:ascii="Symbol" w:hAnsi="Symbol" w:hint="default"/>
      </w:rPr>
    </w:lvl>
    <w:lvl w:ilvl="4" w:tplc="0C090003" w:tentative="1">
      <w:start w:val="1"/>
      <w:numFmt w:val="bullet"/>
      <w:lvlText w:val="o"/>
      <w:lvlJc w:val="left"/>
      <w:pPr>
        <w:ind w:left="3248" w:hanging="360"/>
      </w:pPr>
      <w:rPr>
        <w:rFonts w:ascii="Courier New" w:hAnsi="Courier New" w:cs="Courier New" w:hint="default"/>
      </w:rPr>
    </w:lvl>
    <w:lvl w:ilvl="5" w:tplc="0C090005" w:tentative="1">
      <w:start w:val="1"/>
      <w:numFmt w:val="bullet"/>
      <w:lvlText w:val=""/>
      <w:lvlJc w:val="left"/>
      <w:pPr>
        <w:ind w:left="3968" w:hanging="360"/>
      </w:pPr>
      <w:rPr>
        <w:rFonts w:ascii="Wingdings" w:hAnsi="Wingdings" w:hint="default"/>
      </w:rPr>
    </w:lvl>
    <w:lvl w:ilvl="6" w:tplc="0C090001" w:tentative="1">
      <w:start w:val="1"/>
      <w:numFmt w:val="bullet"/>
      <w:lvlText w:val=""/>
      <w:lvlJc w:val="left"/>
      <w:pPr>
        <w:ind w:left="4688" w:hanging="360"/>
      </w:pPr>
      <w:rPr>
        <w:rFonts w:ascii="Symbol" w:hAnsi="Symbol" w:hint="default"/>
      </w:rPr>
    </w:lvl>
    <w:lvl w:ilvl="7" w:tplc="0C090003" w:tentative="1">
      <w:start w:val="1"/>
      <w:numFmt w:val="bullet"/>
      <w:lvlText w:val="o"/>
      <w:lvlJc w:val="left"/>
      <w:pPr>
        <w:ind w:left="5408" w:hanging="360"/>
      </w:pPr>
      <w:rPr>
        <w:rFonts w:ascii="Courier New" w:hAnsi="Courier New" w:cs="Courier New" w:hint="default"/>
      </w:rPr>
    </w:lvl>
    <w:lvl w:ilvl="8" w:tplc="0C090005" w:tentative="1">
      <w:start w:val="1"/>
      <w:numFmt w:val="bullet"/>
      <w:lvlText w:val=""/>
      <w:lvlJc w:val="left"/>
      <w:pPr>
        <w:ind w:left="6128" w:hanging="360"/>
      </w:pPr>
      <w:rPr>
        <w:rFonts w:ascii="Wingdings" w:hAnsi="Wingdings" w:hint="default"/>
      </w:rPr>
    </w:lvl>
  </w:abstractNum>
  <w:abstractNum w:abstractNumId="2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54F89"/>
    <w:multiLevelType w:val="hybridMultilevel"/>
    <w:tmpl w:val="03FE8578"/>
    <w:lvl w:ilvl="0" w:tplc="0C09000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C090005">
      <w:start w:val="1"/>
      <w:numFmt w:val="lowerRoman"/>
      <w:lvlText w:val="%3."/>
      <w:lvlJc w:val="right"/>
      <w:pPr>
        <w:ind w:left="2160" w:hanging="180"/>
      </w:pPr>
    </w:lvl>
    <w:lvl w:ilvl="3" w:tplc="EF58BE3A">
      <w:start w:val="1"/>
      <w:numFmt w:val="decimal"/>
      <w:lvlText w:val="%4."/>
      <w:lvlJc w:val="left"/>
      <w:pPr>
        <w:ind w:left="2880" w:hanging="360"/>
      </w:pPr>
      <w:rPr>
        <w:b w:val="0"/>
      </w:rPr>
    </w:lvl>
    <w:lvl w:ilvl="4" w:tplc="0C090003">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nsid w:val="4E04433A"/>
    <w:multiLevelType w:val="multilevel"/>
    <w:tmpl w:val="C4183F12"/>
    <w:numStyleLink w:val="AHPRANumberedlist"/>
  </w:abstractNum>
  <w:abstractNum w:abstractNumId="26">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nsid w:val="58810AF1"/>
    <w:multiLevelType w:val="multilevel"/>
    <w:tmpl w:val="C234E0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954AE"/>
    <w:multiLevelType w:val="hybridMultilevel"/>
    <w:tmpl w:val="B726D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BC2C47"/>
    <w:multiLevelType w:val="hybridMultilevel"/>
    <w:tmpl w:val="8D26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E154B0"/>
    <w:multiLevelType w:val="multilevel"/>
    <w:tmpl w:val="C4183F12"/>
    <w:numStyleLink w:val="AHPRANumberedlist"/>
  </w:abstractNum>
  <w:abstractNum w:abstractNumId="33">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31660"/>
    <w:multiLevelType w:val="multilevel"/>
    <w:tmpl w:val="C4183F12"/>
    <w:numStyleLink w:val="AHPRANumberedlist"/>
  </w:abstractNum>
  <w:num w:numId="1">
    <w:abstractNumId w:val="29"/>
  </w:num>
  <w:num w:numId="2">
    <w:abstractNumId w:val="23"/>
  </w:num>
  <w:num w:numId="3">
    <w:abstractNumId w:val="12"/>
  </w:num>
  <w:num w:numId="4">
    <w:abstractNumId w:val="14"/>
  </w:num>
  <w:num w:numId="5">
    <w:abstractNumId w:val="17"/>
  </w:num>
  <w:num w:numId="6">
    <w:abstractNumId w:val="19"/>
  </w:num>
  <w:num w:numId="7">
    <w:abstractNumId w:val="11"/>
  </w:num>
  <w:num w:numId="8">
    <w:abstractNumId w:val="21"/>
  </w:num>
  <w:num w:numId="9">
    <w:abstractNumId w:val="33"/>
  </w:num>
  <w:num w:numId="10">
    <w:abstractNumId w:val="25"/>
  </w:num>
  <w:num w:numId="11">
    <w:abstractNumId w:val="13"/>
  </w:num>
  <w:num w:numId="12">
    <w:abstractNumId w:val="32"/>
  </w:num>
  <w:num w:numId="13">
    <w:abstractNumId w:val="34"/>
  </w:num>
  <w:num w:numId="14">
    <w:abstractNumId w:val="18"/>
  </w:num>
  <w:num w:numId="15">
    <w:abstractNumId w:val="27"/>
  </w:num>
  <w:num w:numId="16">
    <w:abstractNumId w:val="2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22"/>
  </w:num>
  <w:num w:numId="30">
    <w:abstractNumId w:val="10"/>
  </w:num>
  <w:num w:numId="31">
    <w:abstractNumId w:val="16"/>
  </w:num>
  <w:num w:numId="32">
    <w:abstractNumId w:val="28"/>
  </w:num>
  <w:num w:numId="33">
    <w:abstractNumId w:val="3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4B2A4E"/>
    <w:rsid w:val="00000033"/>
    <w:rsid w:val="00006922"/>
    <w:rsid w:val="00010C4B"/>
    <w:rsid w:val="000334D7"/>
    <w:rsid w:val="00071439"/>
    <w:rsid w:val="0007536F"/>
    <w:rsid w:val="000817B6"/>
    <w:rsid w:val="000945FB"/>
    <w:rsid w:val="00095FAE"/>
    <w:rsid w:val="000A6BF7"/>
    <w:rsid w:val="000A7295"/>
    <w:rsid w:val="000B1523"/>
    <w:rsid w:val="000E6E60"/>
    <w:rsid w:val="000E719B"/>
    <w:rsid w:val="000E7E28"/>
    <w:rsid w:val="000F5D90"/>
    <w:rsid w:val="0010139F"/>
    <w:rsid w:val="00104EFD"/>
    <w:rsid w:val="00144DEF"/>
    <w:rsid w:val="001506FE"/>
    <w:rsid w:val="00192A33"/>
    <w:rsid w:val="00194C45"/>
    <w:rsid w:val="00196F14"/>
    <w:rsid w:val="001B279D"/>
    <w:rsid w:val="001B798D"/>
    <w:rsid w:val="001C425C"/>
    <w:rsid w:val="001C71A5"/>
    <w:rsid w:val="001D4981"/>
    <w:rsid w:val="001E1E31"/>
    <w:rsid w:val="001E2849"/>
    <w:rsid w:val="001E4A94"/>
    <w:rsid w:val="001E5621"/>
    <w:rsid w:val="00201C01"/>
    <w:rsid w:val="00205CED"/>
    <w:rsid w:val="00220A3B"/>
    <w:rsid w:val="002231C8"/>
    <w:rsid w:val="00224708"/>
    <w:rsid w:val="0024451E"/>
    <w:rsid w:val="0027644D"/>
    <w:rsid w:val="0027712B"/>
    <w:rsid w:val="0028013F"/>
    <w:rsid w:val="002851A4"/>
    <w:rsid w:val="00295B44"/>
    <w:rsid w:val="002A0C96"/>
    <w:rsid w:val="002B2D48"/>
    <w:rsid w:val="002C08FB"/>
    <w:rsid w:val="002C34EA"/>
    <w:rsid w:val="002D3A9C"/>
    <w:rsid w:val="002E3447"/>
    <w:rsid w:val="00303BE1"/>
    <w:rsid w:val="00304BCB"/>
    <w:rsid w:val="00305AFC"/>
    <w:rsid w:val="003160FE"/>
    <w:rsid w:val="003354E4"/>
    <w:rsid w:val="00381A8E"/>
    <w:rsid w:val="00382F3A"/>
    <w:rsid w:val="00393516"/>
    <w:rsid w:val="00393DFB"/>
    <w:rsid w:val="003D6DBD"/>
    <w:rsid w:val="003E00B5"/>
    <w:rsid w:val="003E3268"/>
    <w:rsid w:val="003F2F06"/>
    <w:rsid w:val="0040172B"/>
    <w:rsid w:val="00405C0A"/>
    <w:rsid w:val="00410235"/>
    <w:rsid w:val="00414F2C"/>
    <w:rsid w:val="0043111F"/>
    <w:rsid w:val="00450B34"/>
    <w:rsid w:val="00452D29"/>
    <w:rsid w:val="0045740A"/>
    <w:rsid w:val="004606A7"/>
    <w:rsid w:val="004A5E5D"/>
    <w:rsid w:val="004B2A4E"/>
    <w:rsid w:val="004B36DC"/>
    <w:rsid w:val="004B3B50"/>
    <w:rsid w:val="004B438E"/>
    <w:rsid w:val="004B747B"/>
    <w:rsid w:val="004D7537"/>
    <w:rsid w:val="004F572D"/>
    <w:rsid w:val="004F5C05"/>
    <w:rsid w:val="00516EF2"/>
    <w:rsid w:val="00531C63"/>
    <w:rsid w:val="00533D0E"/>
    <w:rsid w:val="0053749F"/>
    <w:rsid w:val="00546B56"/>
    <w:rsid w:val="00553A4C"/>
    <w:rsid w:val="00554335"/>
    <w:rsid w:val="005565CE"/>
    <w:rsid w:val="005708AE"/>
    <w:rsid w:val="005A0FA9"/>
    <w:rsid w:val="005B7F1F"/>
    <w:rsid w:val="005C296B"/>
    <w:rsid w:val="005C5932"/>
    <w:rsid w:val="005C6817"/>
    <w:rsid w:val="005C6F14"/>
    <w:rsid w:val="005E1B15"/>
    <w:rsid w:val="005F2169"/>
    <w:rsid w:val="00616043"/>
    <w:rsid w:val="00626644"/>
    <w:rsid w:val="00640B2C"/>
    <w:rsid w:val="006476D9"/>
    <w:rsid w:val="00650A78"/>
    <w:rsid w:val="00667CAD"/>
    <w:rsid w:val="00670F48"/>
    <w:rsid w:val="00672A98"/>
    <w:rsid w:val="00677399"/>
    <w:rsid w:val="00681D5E"/>
    <w:rsid w:val="006C0257"/>
    <w:rsid w:val="006C0E29"/>
    <w:rsid w:val="006D30FE"/>
    <w:rsid w:val="006D3757"/>
    <w:rsid w:val="006D45FD"/>
    <w:rsid w:val="006D6D35"/>
    <w:rsid w:val="006E01C1"/>
    <w:rsid w:val="006F0DAB"/>
    <w:rsid w:val="006F585B"/>
    <w:rsid w:val="006F7348"/>
    <w:rsid w:val="006F796D"/>
    <w:rsid w:val="0070155F"/>
    <w:rsid w:val="00705F33"/>
    <w:rsid w:val="00711301"/>
    <w:rsid w:val="00713A7E"/>
    <w:rsid w:val="00722628"/>
    <w:rsid w:val="0072358E"/>
    <w:rsid w:val="00725F23"/>
    <w:rsid w:val="00735191"/>
    <w:rsid w:val="007372A4"/>
    <w:rsid w:val="00741B04"/>
    <w:rsid w:val="0076115C"/>
    <w:rsid w:val="007663CA"/>
    <w:rsid w:val="007664F3"/>
    <w:rsid w:val="00767F24"/>
    <w:rsid w:val="00790DEA"/>
    <w:rsid w:val="0079197C"/>
    <w:rsid w:val="007953FD"/>
    <w:rsid w:val="007A35B9"/>
    <w:rsid w:val="007A6485"/>
    <w:rsid w:val="007B77D6"/>
    <w:rsid w:val="007C0B6E"/>
    <w:rsid w:val="007C19C9"/>
    <w:rsid w:val="007C2E55"/>
    <w:rsid w:val="007D4836"/>
    <w:rsid w:val="007D6CFE"/>
    <w:rsid w:val="007E2C84"/>
    <w:rsid w:val="007E3545"/>
    <w:rsid w:val="007E7837"/>
    <w:rsid w:val="007F0095"/>
    <w:rsid w:val="008007C0"/>
    <w:rsid w:val="00815D4D"/>
    <w:rsid w:val="00823AB7"/>
    <w:rsid w:val="008338F7"/>
    <w:rsid w:val="00836397"/>
    <w:rsid w:val="0084183D"/>
    <w:rsid w:val="00845054"/>
    <w:rsid w:val="00852D1C"/>
    <w:rsid w:val="00856147"/>
    <w:rsid w:val="00860F40"/>
    <w:rsid w:val="008615C9"/>
    <w:rsid w:val="00864020"/>
    <w:rsid w:val="00875FE3"/>
    <w:rsid w:val="00892B3A"/>
    <w:rsid w:val="008979D5"/>
    <w:rsid w:val="008A4C3B"/>
    <w:rsid w:val="008B2AD7"/>
    <w:rsid w:val="008B54DD"/>
    <w:rsid w:val="008D6B7E"/>
    <w:rsid w:val="008D7845"/>
    <w:rsid w:val="008E021A"/>
    <w:rsid w:val="008F4B4F"/>
    <w:rsid w:val="00902C84"/>
    <w:rsid w:val="00903142"/>
    <w:rsid w:val="009031EA"/>
    <w:rsid w:val="00923B23"/>
    <w:rsid w:val="00933374"/>
    <w:rsid w:val="00937ED0"/>
    <w:rsid w:val="00941C87"/>
    <w:rsid w:val="00942C26"/>
    <w:rsid w:val="00952797"/>
    <w:rsid w:val="00975AA1"/>
    <w:rsid w:val="009777D3"/>
    <w:rsid w:val="0098204B"/>
    <w:rsid w:val="0098290A"/>
    <w:rsid w:val="00983D60"/>
    <w:rsid w:val="009859E6"/>
    <w:rsid w:val="009936B9"/>
    <w:rsid w:val="0099508D"/>
    <w:rsid w:val="009A0A5D"/>
    <w:rsid w:val="009C6933"/>
    <w:rsid w:val="009E1EEE"/>
    <w:rsid w:val="009F1B7F"/>
    <w:rsid w:val="009F2C17"/>
    <w:rsid w:val="00A029A8"/>
    <w:rsid w:val="00A04C7A"/>
    <w:rsid w:val="00A058E5"/>
    <w:rsid w:val="00A10C1A"/>
    <w:rsid w:val="00A1660D"/>
    <w:rsid w:val="00A20417"/>
    <w:rsid w:val="00A2072E"/>
    <w:rsid w:val="00A237BB"/>
    <w:rsid w:val="00A27F29"/>
    <w:rsid w:val="00A410B7"/>
    <w:rsid w:val="00A458ED"/>
    <w:rsid w:val="00A509AB"/>
    <w:rsid w:val="00A61BCD"/>
    <w:rsid w:val="00A82078"/>
    <w:rsid w:val="00A838C8"/>
    <w:rsid w:val="00A91C42"/>
    <w:rsid w:val="00A9516B"/>
    <w:rsid w:val="00A9780A"/>
    <w:rsid w:val="00AA00AF"/>
    <w:rsid w:val="00AA2FC9"/>
    <w:rsid w:val="00AA42BC"/>
    <w:rsid w:val="00AA7AC9"/>
    <w:rsid w:val="00AB283D"/>
    <w:rsid w:val="00AB4DB6"/>
    <w:rsid w:val="00AC0415"/>
    <w:rsid w:val="00AD312E"/>
    <w:rsid w:val="00AE3EAF"/>
    <w:rsid w:val="00B024B0"/>
    <w:rsid w:val="00B03FB8"/>
    <w:rsid w:val="00B166B9"/>
    <w:rsid w:val="00B17ACF"/>
    <w:rsid w:val="00B32284"/>
    <w:rsid w:val="00B34EDA"/>
    <w:rsid w:val="00B361D8"/>
    <w:rsid w:val="00B51748"/>
    <w:rsid w:val="00B57198"/>
    <w:rsid w:val="00B664A0"/>
    <w:rsid w:val="00B6713F"/>
    <w:rsid w:val="00B67A02"/>
    <w:rsid w:val="00B7186B"/>
    <w:rsid w:val="00B85023"/>
    <w:rsid w:val="00BA2456"/>
    <w:rsid w:val="00BA469B"/>
    <w:rsid w:val="00BB1A20"/>
    <w:rsid w:val="00BB2FEF"/>
    <w:rsid w:val="00BB4A5B"/>
    <w:rsid w:val="00BC2889"/>
    <w:rsid w:val="00BF2534"/>
    <w:rsid w:val="00BF79DC"/>
    <w:rsid w:val="00C0048F"/>
    <w:rsid w:val="00C07F53"/>
    <w:rsid w:val="00C10FEE"/>
    <w:rsid w:val="00C175EF"/>
    <w:rsid w:val="00C35DE1"/>
    <w:rsid w:val="00C3795C"/>
    <w:rsid w:val="00C4082A"/>
    <w:rsid w:val="00C43196"/>
    <w:rsid w:val="00C43E21"/>
    <w:rsid w:val="00C524AA"/>
    <w:rsid w:val="00C54689"/>
    <w:rsid w:val="00C80113"/>
    <w:rsid w:val="00C81B3A"/>
    <w:rsid w:val="00C844D3"/>
    <w:rsid w:val="00C8721A"/>
    <w:rsid w:val="00CB3079"/>
    <w:rsid w:val="00CB6C08"/>
    <w:rsid w:val="00CD0DCA"/>
    <w:rsid w:val="00CD5405"/>
    <w:rsid w:val="00D106BC"/>
    <w:rsid w:val="00D12F61"/>
    <w:rsid w:val="00D201C6"/>
    <w:rsid w:val="00D50355"/>
    <w:rsid w:val="00D6371B"/>
    <w:rsid w:val="00D638E0"/>
    <w:rsid w:val="00D65E8A"/>
    <w:rsid w:val="00D716BA"/>
    <w:rsid w:val="00D8404D"/>
    <w:rsid w:val="00D87C12"/>
    <w:rsid w:val="00DA00C3"/>
    <w:rsid w:val="00DC2952"/>
    <w:rsid w:val="00DF1AB7"/>
    <w:rsid w:val="00DF5DC1"/>
    <w:rsid w:val="00E07C02"/>
    <w:rsid w:val="00E12B06"/>
    <w:rsid w:val="00E15BF6"/>
    <w:rsid w:val="00E46122"/>
    <w:rsid w:val="00E54005"/>
    <w:rsid w:val="00E715E9"/>
    <w:rsid w:val="00E71CB9"/>
    <w:rsid w:val="00E73698"/>
    <w:rsid w:val="00E73D8C"/>
    <w:rsid w:val="00E77E23"/>
    <w:rsid w:val="00E8251C"/>
    <w:rsid w:val="00E844A0"/>
    <w:rsid w:val="00E868A9"/>
    <w:rsid w:val="00EB22A7"/>
    <w:rsid w:val="00EC2949"/>
    <w:rsid w:val="00EE4685"/>
    <w:rsid w:val="00EF27C1"/>
    <w:rsid w:val="00F13ED2"/>
    <w:rsid w:val="00F27ACB"/>
    <w:rsid w:val="00F3616F"/>
    <w:rsid w:val="00F505CB"/>
    <w:rsid w:val="00F54217"/>
    <w:rsid w:val="00F6618F"/>
    <w:rsid w:val="00F70DD5"/>
    <w:rsid w:val="00F73165"/>
    <w:rsid w:val="00F77B34"/>
    <w:rsid w:val="00F82206"/>
    <w:rsid w:val="00F90BCE"/>
    <w:rsid w:val="00F97880"/>
    <w:rsid w:val="00FB7894"/>
    <w:rsid w:val="00FC2881"/>
    <w:rsid w:val="00FD30A7"/>
    <w:rsid w:val="00FD7DC1"/>
    <w:rsid w:val="00FE3F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1"/>
    <w:lsdException w:name="Strong" w:uiPriority="1"/>
    <w:lsdException w:name="Emphasis" w:uiPriority="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rPr>
  </w:style>
  <w:style w:type="paragraph" w:customStyle="1" w:styleId="AHPRABody0">
    <w:name w:val="AHPRA Body"/>
    <w:basedOn w:val="Normal"/>
    <w:rsid w:val="00F97880"/>
    <w:pPr>
      <w:spacing w:after="0"/>
    </w:pPr>
    <w:rPr>
      <w:rFonts w:eastAsiaTheme="minorHAnsi" w:cs="Arial"/>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1"/>
    <w:lsdException w:name="Strong" w:uiPriority="1"/>
    <w:lsdException w:name="Emphasis" w:uiPriority="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99"/>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s>
</file>

<file path=word/webSettings.xml><?xml version="1.0" encoding="utf-8"?>
<w:webSettings xmlns:r="http://schemas.openxmlformats.org/officeDocument/2006/relationships" xmlns:w="http://schemas.openxmlformats.org/wordprocessingml/2006/main">
  <w:divs>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Accreditation.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iatryboard.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ews/2015-03-27-media-statemen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Publications/Corporate-publication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aghealthcouncil.gov.au/Publications/Communiques/ArtMID/522/ArticleID/53/17-April-2015-COAG-Health-Council-Communiqu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68E2-DB19-4690-90B3-67A905A6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7713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- 22 April 2015</dc:title>
  <dc:subject>Communique</dc:subject>
  <dc:creator>Podiatry Board</dc:creator>
  <cp:lastModifiedBy>nthorn</cp:lastModifiedBy>
  <cp:revision>3</cp:revision>
  <cp:lastPrinted>2012-02-10T00:45:00Z</cp:lastPrinted>
  <dcterms:created xsi:type="dcterms:W3CDTF">2015-05-04T22:49:00Z</dcterms:created>
  <dcterms:modified xsi:type="dcterms:W3CDTF">2015-05-04T22:49:00Z</dcterms:modified>
</cp:coreProperties>
</file>