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A1" w:rsidRDefault="00975AA1" w:rsidP="00C3795C">
      <w:pPr>
        <w:pStyle w:val="AHPRADocumenttitle"/>
      </w:pPr>
    </w:p>
    <w:p w:rsidR="00975AA1" w:rsidRDefault="00975AA1" w:rsidP="00C3795C">
      <w:pPr>
        <w:pStyle w:val="AHPRADocumenttitle"/>
      </w:pPr>
    </w:p>
    <w:p w:rsidR="00FC2881" w:rsidRPr="00C3795C" w:rsidRDefault="009D6D22" w:rsidP="00C3795C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24.05pt;width:159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v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LKYzjO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lHF1at4AAAAKAQAADwAAAGRycy9kb3ducmV2LnhtbEyPwU7DMAyG&#10;70i8Q2QkLmhLU2DauqbThMSBI9skrl7jtYXGqZp0LXt6MnGAo+1Pv78/30y2FWfqfeNYg5onIIhL&#10;ZxquNBz2r7MlCB+QDbaOScM3edgUtzc5ZsaN/E7nXahEDGGfoYY6hC6T0pc1WfRz1xHH28n1FkMc&#10;+0qaHscYbluZJslCWmw4fqixo5eayq/dYDWQH55Vsl3Z6vB2GR8+0svn2O21vr+btmsQgabwB8NV&#10;P6pDEZ2ObmDjRathptLFY2Q1PC0ViCuxUrHM8Xchi1z+r1D8AAAA//8DAFBLAQItABQABgAIAAAA&#10;IQC2gziS/gAAAOEBAAATAAAAAAAAAAAAAAAAAAAAAABbQ29udGVudF9UeXBlc10ueG1sUEsBAi0A&#10;FAAGAAgAAAAhADj9If/WAAAAlAEAAAsAAAAAAAAAAAAAAAAALwEAAF9yZWxzLy5yZWxzUEsBAi0A&#10;FAAGAAgAAAAhABu3S+geAgAAOwQAAA4AAAAAAAAAAAAAAAAALgIAAGRycy9lMm9Eb2MueG1sUEsB&#10;Ai0AFAAGAAgAAAAhAJRxdWreAAAACgEAAA8AAAAAAAAAAAAAAAAAeAQAAGRycy9kb3ducmV2Lnht&#10;bFBLBQYAAAAABAAEAPMAAACDBQAAAAA=&#10;"/>
        </w:pict>
      </w:r>
      <w:r w:rsidR="00975AA1">
        <w:t>Communiqué</w:t>
      </w:r>
    </w:p>
    <w:p w:rsidR="00C3795C" w:rsidRDefault="00C3795C" w:rsidP="00FC2881">
      <w:pPr>
        <w:outlineLvl w:val="0"/>
      </w:pPr>
    </w:p>
    <w:p w:rsidR="00C3795C" w:rsidRDefault="00975AA1" w:rsidP="00C3795C">
      <w:pPr>
        <w:pStyle w:val="AHPRADocumentsubheading"/>
      </w:pPr>
      <w:r>
        <w:t xml:space="preserve">Meeting of the Podiatry Board of Australia held on </w:t>
      </w:r>
      <w:r w:rsidR="008F4B4F">
        <w:t>2</w:t>
      </w:r>
      <w:r w:rsidR="00AC0415">
        <w:t>5</w:t>
      </w:r>
      <w:r w:rsidR="008F4B4F">
        <w:t xml:space="preserve"> </w:t>
      </w:r>
      <w:r w:rsidR="005E1B15">
        <w:t>March</w:t>
      </w:r>
      <w:r w:rsidR="008F4B4F">
        <w:t xml:space="preserve"> 201</w:t>
      </w:r>
      <w:r w:rsidR="00AC0415">
        <w:t>5</w:t>
      </w:r>
    </w:p>
    <w:p w:rsidR="00735191" w:rsidRDefault="00735191" w:rsidP="00735191">
      <w:pPr>
        <w:pStyle w:val="Default"/>
      </w:pPr>
    </w:p>
    <w:p w:rsidR="006476D9" w:rsidRPr="006476D9" w:rsidRDefault="000E719B" w:rsidP="006476D9">
      <w:pPr>
        <w:pStyle w:val="Default"/>
        <w:rPr>
          <w:b/>
          <w:bCs/>
          <w:color w:val="008EC4"/>
          <w:sz w:val="20"/>
          <w:szCs w:val="20"/>
        </w:rPr>
      </w:pPr>
      <w:r>
        <w:rPr>
          <w:b/>
          <w:bCs/>
          <w:color w:val="008EC4"/>
          <w:sz w:val="20"/>
          <w:szCs w:val="20"/>
        </w:rPr>
        <w:t xml:space="preserve">Release of </w:t>
      </w:r>
      <w:r w:rsidR="00933374">
        <w:rPr>
          <w:b/>
          <w:bCs/>
          <w:color w:val="008EC4"/>
          <w:sz w:val="20"/>
          <w:szCs w:val="20"/>
        </w:rPr>
        <w:t>B</w:t>
      </w:r>
      <w:r>
        <w:rPr>
          <w:b/>
          <w:bCs/>
          <w:color w:val="008EC4"/>
          <w:sz w:val="20"/>
          <w:szCs w:val="20"/>
        </w:rPr>
        <w:t>oard survey</w:t>
      </w:r>
    </w:p>
    <w:p w:rsidR="000E719B" w:rsidRDefault="00933374" w:rsidP="000E719B">
      <w:pPr>
        <w:spacing w:before="270" w:after="270" w:line="270" w:lineRule="atLeast"/>
        <w:ind w:right="270"/>
        <w:rPr>
          <w:rFonts w:cs="Arial"/>
          <w:sz w:val="20"/>
          <w:szCs w:val="20"/>
        </w:rPr>
      </w:pPr>
      <w:r>
        <w:rPr>
          <w:sz w:val="20"/>
          <w:szCs w:val="20"/>
        </w:rPr>
        <w:t>T</w:t>
      </w:r>
      <w:r w:rsidR="000E719B">
        <w:rPr>
          <w:sz w:val="20"/>
          <w:szCs w:val="20"/>
        </w:rPr>
        <w:t>he Board</w:t>
      </w:r>
      <w:r>
        <w:rPr>
          <w:sz w:val="20"/>
          <w:szCs w:val="20"/>
        </w:rPr>
        <w:t xml:space="preserve"> recently</w:t>
      </w:r>
      <w:r w:rsidR="000E719B">
        <w:rPr>
          <w:sz w:val="20"/>
          <w:szCs w:val="20"/>
        </w:rPr>
        <w:t xml:space="preserve"> emailed all registered podiatrists and podiatric surgeons inviting them to </w:t>
      </w:r>
      <w:r>
        <w:rPr>
          <w:sz w:val="20"/>
          <w:szCs w:val="20"/>
        </w:rPr>
        <w:t>take part</w:t>
      </w:r>
      <w:r w:rsidR="000E719B">
        <w:rPr>
          <w:sz w:val="20"/>
          <w:szCs w:val="20"/>
        </w:rPr>
        <w:t xml:space="preserve"> in a survey. </w:t>
      </w:r>
      <w:r>
        <w:rPr>
          <w:sz w:val="20"/>
          <w:szCs w:val="20"/>
        </w:rPr>
        <w:t>Participation in t</w:t>
      </w:r>
      <w:r w:rsidR="000E719B">
        <w:rPr>
          <w:sz w:val="20"/>
          <w:szCs w:val="20"/>
        </w:rPr>
        <w:t>he survey is volunt</w:t>
      </w:r>
      <w:bookmarkStart w:id="0" w:name="_GoBack"/>
      <w:bookmarkEnd w:id="0"/>
      <w:r w:rsidR="000E719B">
        <w:rPr>
          <w:sz w:val="20"/>
          <w:szCs w:val="20"/>
        </w:rPr>
        <w:t>ary and anonymous.</w:t>
      </w:r>
    </w:p>
    <w:p w:rsidR="000E719B" w:rsidRDefault="000E719B" w:rsidP="000E719B">
      <w:pPr>
        <w:spacing w:before="270" w:after="270" w:line="270" w:lineRule="atLeast"/>
        <w:ind w:right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objective of the survey is to assist the Board to better understand registrants’ knowledge and understanding of their obligations under the National Law</w:t>
      </w:r>
      <w:r w:rsidR="00933374">
        <w:rPr>
          <w:rStyle w:val="FootnoteReference"/>
          <w:rFonts w:cs="Arial"/>
          <w:szCs w:val="20"/>
        </w:rPr>
        <w:footnoteReference w:id="2"/>
      </w:r>
      <w:r w:rsidR="0093337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as well as identifying areas where the Board might need to provide more guidance to the profession.</w:t>
      </w:r>
    </w:p>
    <w:p w:rsidR="000E719B" w:rsidRDefault="00933374" w:rsidP="000E71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Board has engaged the services of a consultant to conduct the survey on our behalf.</w:t>
      </w:r>
      <w:r w:rsidRPr="000E719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</w:t>
      </w:r>
      <w:r w:rsidR="009E1EEE" w:rsidRPr="000E719B">
        <w:rPr>
          <w:bCs/>
          <w:sz w:val="20"/>
          <w:szCs w:val="20"/>
        </w:rPr>
        <w:t>ll podiatrists and podiatric s</w:t>
      </w:r>
      <w:r w:rsidR="000E719B">
        <w:rPr>
          <w:bCs/>
          <w:sz w:val="20"/>
          <w:szCs w:val="20"/>
        </w:rPr>
        <w:t>urgeons</w:t>
      </w:r>
      <w:r>
        <w:rPr>
          <w:bCs/>
          <w:sz w:val="20"/>
          <w:szCs w:val="20"/>
        </w:rPr>
        <w:t xml:space="preserve"> are encouraged</w:t>
      </w:r>
      <w:r w:rsidR="000E719B">
        <w:rPr>
          <w:bCs/>
          <w:sz w:val="20"/>
          <w:szCs w:val="20"/>
        </w:rPr>
        <w:t xml:space="preserve"> to complete th</w:t>
      </w:r>
      <w:r>
        <w:rPr>
          <w:bCs/>
          <w:sz w:val="20"/>
          <w:szCs w:val="20"/>
        </w:rPr>
        <w:t>e</w:t>
      </w:r>
      <w:r w:rsidR="000E719B">
        <w:rPr>
          <w:bCs/>
          <w:sz w:val="20"/>
          <w:szCs w:val="20"/>
        </w:rPr>
        <w:t xml:space="preserve"> survey and </w:t>
      </w:r>
      <w:r w:rsidR="000E719B">
        <w:rPr>
          <w:sz w:val="20"/>
          <w:szCs w:val="20"/>
        </w:rPr>
        <w:t>take this opportunity to provide valuable feedback to the Board</w:t>
      </w:r>
      <w:r w:rsidR="00A27F29">
        <w:rPr>
          <w:sz w:val="20"/>
          <w:szCs w:val="20"/>
        </w:rPr>
        <w:t>.</w:t>
      </w:r>
    </w:p>
    <w:p w:rsidR="0040172B" w:rsidRDefault="0040172B">
      <w:pPr>
        <w:spacing w:after="0"/>
        <w:rPr>
          <w:rFonts w:cs="Arial"/>
          <w:bCs/>
          <w:sz w:val="20"/>
          <w:szCs w:val="20"/>
        </w:rPr>
      </w:pPr>
    </w:p>
    <w:p w:rsidR="00C0048F" w:rsidRDefault="00C0048F" w:rsidP="00C0048F">
      <w:pPr>
        <w:pStyle w:val="Default"/>
        <w:rPr>
          <w:b/>
          <w:bCs/>
          <w:color w:val="008EC4"/>
          <w:sz w:val="20"/>
          <w:szCs w:val="20"/>
        </w:rPr>
      </w:pPr>
      <w:r w:rsidRPr="00C0048F">
        <w:rPr>
          <w:b/>
          <w:bCs/>
          <w:color w:val="008EC4"/>
          <w:sz w:val="20"/>
          <w:szCs w:val="20"/>
        </w:rPr>
        <w:t>Snapshot of the registered podiatry workforce</w:t>
      </w:r>
    </w:p>
    <w:p w:rsidR="00C0048F" w:rsidRPr="00C0048F" w:rsidRDefault="00C0048F" w:rsidP="00C0048F">
      <w:pPr>
        <w:pStyle w:val="Default"/>
        <w:rPr>
          <w:b/>
          <w:bCs/>
          <w:color w:val="008EC4"/>
          <w:sz w:val="20"/>
          <w:szCs w:val="20"/>
        </w:rPr>
      </w:pPr>
    </w:p>
    <w:p w:rsidR="00C0048F" w:rsidRDefault="00C0048F" w:rsidP="00C004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Board publishes </w:t>
      </w:r>
      <w:hyperlink r:id="rId8" w:history="1">
        <w:r w:rsidR="00B17ACF">
          <w:rPr>
            <w:rStyle w:val="Hyperlink"/>
            <w:sz w:val="20"/>
            <w:szCs w:val="20"/>
          </w:rPr>
          <w:t>quarterly data</w:t>
        </w:r>
      </w:hyperlink>
      <w:r w:rsidR="00B17A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profiling Australia’s podiatry workforce, including a number of statistical breakdowns about registrants. </w:t>
      </w:r>
    </w:p>
    <w:p w:rsidR="009E1EEE" w:rsidRDefault="00C0048F" w:rsidP="00C0048F">
      <w:pPr>
        <w:spacing w:before="270" w:after="270" w:line="270" w:lineRule="atLeast"/>
        <w:ind w:right="270"/>
        <w:rPr>
          <w:rFonts w:cs="Arial"/>
          <w:b/>
          <w:bCs/>
          <w:color w:val="008EC4"/>
          <w:sz w:val="20"/>
          <w:szCs w:val="20"/>
        </w:rPr>
      </w:pPr>
      <w:r>
        <w:rPr>
          <w:sz w:val="20"/>
          <w:szCs w:val="20"/>
        </w:rPr>
        <w:t xml:space="preserve">The Board’s December 2014 data update, which was published on the Board’s website </w:t>
      </w:r>
      <w:r w:rsidR="00B17ACF">
        <w:rPr>
          <w:sz w:val="20"/>
          <w:szCs w:val="20"/>
        </w:rPr>
        <w:t>in early March</w:t>
      </w:r>
      <w:r w:rsidR="00933374">
        <w:rPr>
          <w:sz w:val="20"/>
          <w:szCs w:val="20"/>
        </w:rPr>
        <w:t>,</w:t>
      </w:r>
      <w:r w:rsidR="00B17ACF">
        <w:rPr>
          <w:sz w:val="20"/>
          <w:szCs w:val="20"/>
        </w:rPr>
        <w:t xml:space="preserve"> </w:t>
      </w:r>
      <w:r>
        <w:rPr>
          <w:sz w:val="20"/>
          <w:szCs w:val="20"/>
        </w:rPr>
        <w:t>shows there are 4,</w:t>
      </w:r>
      <w:r w:rsidR="00B17ACF">
        <w:rPr>
          <w:sz w:val="20"/>
          <w:szCs w:val="20"/>
        </w:rPr>
        <w:t>347</w:t>
      </w:r>
      <w:r>
        <w:rPr>
          <w:sz w:val="20"/>
          <w:szCs w:val="20"/>
        </w:rPr>
        <w:t xml:space="preserve"> registered podiatry practitioners in Australia. Of these, 4</w:t>
      </w:r>
      <w:r w:rsidR="00933374">
        <w:rPr>
          <w:sz w:val="20"/>
          <w:szCs w:val="20"/>
        </w:rPr>
        <w:t>,</w:t>
      </w:r>
      <w:r w:rsidR="00B17ACF">
        <w:rPr>
          <w:sz w:val="20"/>
          <w:szCs w:val="20"/>
        </w:rPr>
        <w:t>220</w:t>
      </w:r>
      <w:r>
        <w:rPr>
          <w:sz w:val="20"/>
          <w:szCs w:val="20"/>
        </w:rPr>
        <w:t xml:space="preserve"> hold general registration as a podiatrist, 2</w:t>
      </w:r>
      <w:r w:rsidR="00B17ACF">
        <w:rPr>
          <w:sz w:val="20"/>
          <w:szCs w:val="20"/>
        </w:rPr>
        <w:t>8</w:t>
      </w:r>
      <w:r>
        <w:rPr>
          <w:sz w:val="20"/>
          <w:szCs w:val="20"/>
        </w:rPr>
        <w:t xml:space="preserve"> hold general and specialist registration as a podiatric surgeon and </w:t>
      </w:r>
      <w:r w:rsidR="00B17ACF">
        <w:rPr>
          <w:sz w:val="20"/>
          <w:szCs w:val="20"/>
        </w:rPr>
        <w:t>99</w:t>
      </w:r>
      <w:r>
        <w:rPr>
          <w:sz w:val="20"/>
          <w:szCs w:val="20"/>
        </w:rPr>
        <w:t xml:space="preserve"> hold non-practising registration.</w:t>
      </w:r>
    </w:p>
    <w:p w:rsidR="0040172B" w:rsidRDefault="009E1EEE">
      <w:pPr>
        <w:spacing w:before="270" w:after="0" w:line="270" w:lineRule="atLeast"/>
        <w:ind w:right="270"/>
        <w:rPr>
          <w:rFonts w:cs="Arial"/>
          <w:b/>
          <w:bCs/>
          <w:color w:val="008EC4"/>
          <w:sz w:val="20"/>
          <w:szCs w:val="20"/>
        </w:rPr>
      </w:pPr>
      <w:r>
        <w:rPr>
          <w:rFonts w:cs="Arial"/>
          <w:b/>
          <w:bCs/>
          <w:color w:val="008EC4"/>
          <w:sz w:val="20"/>
          <w:szCs w:val="20"/>
        </w:rPr>
        <w:t>APodC National conference</w:t>
      </w:r>
    </w:p>
    <w:p w:rsidR="0040172B" w:rsidRDefault="0040172B">
      <w:pPr>
        <w:spacing w:after="0" w:line="270" w:lineRule="atLeast"/>
        <w:ind w:right="270"/>
        <w:rPr>
          <w:rFonts w:cs="Arial"/>
          <w:bCs/>
          <w:sz w:val="20"/>
          <w:szCs w:val="20"/>
        </w:rPr>
      </w:pPr>
    </w:p>
    <w:p w:rsidR="0040172B" w:rsidRDefault="00A61BCD">
      <w:pPr>
        <w:spacing w:after="270" w:line="270" w:lineRule="atLeast"/>
        <w:ind w:right="270"/>
        <w:rPr>
          <w:rFonts w:cs="Arial"/>
          <w:bCs/>
          <w:sz w:val="20"/>
          <w:szCs w:val="20"/>
        </w:rPr>
      </w:pPr>
      <w:r w:rsidRPr="00A61BCD">
        <w:rPr>
          <w:rFonts w:cs="Arial"/>
          <w:bCs/>
          <w:sz w:val="20"/>
          <w:szCs w:val="20"/>
        </w:rPr>
        <w:t xml:space="preserve">The Board is </w:t>
      </w:r>
      <w:r w:rsidR="005F2169">
        <w:rPr>
          <w:rFonts w:cs="Arial"/>
          <w:bCs/>
          <w:sz w:val="20"/>
          <w:szCs w:val="20"/>
        </w:rPr>
        <w:t>h</w:t>
      </w:r>
      <w:r w:rsidR="00933374">
        <w:rPr>
          <w:rFonts w:cs="Arial"/>
          <w:bCs/>
          <w:sz w:val="20"/>
          <w:szCs w:val="20"/>
        </w:rPr>
        <w:t xml:space="preserve">olding </w:t>
      </w:r>
      <w:r w:rsidR="005F2169">
        <w:rPr>
          <w:rFonts w:cs="Arial"/>
          <w:bCs/>
          <w:sz w:val="20"/>
          <w:szCs w:val="20"/>
        </w:rPr>
        <w:t>a workshop</w:t>
      </w:r>
      <w:r w:rsidRPr="00A61BCD">
        <w:rPr>
          <w:rFonts w:cs="Arial"/>
          <w:bCs/>
          <w:sz w:val="20"/>
          <w:szCs w:val="20"/>
        </w:rPr>
        <w:t xml:space="preserve"> at the </w:t>
      </w:r>
      <w:r w:rsidR="005F2169">
        <w:rPr>
          <w:rFonts w:cs="Arial"/>
          <w:bCs/>
          <w:sz w:val="20"/>
          <w:szCs w:val="20"/>
        </w:rPr>
        <w:t xml:space="preserve">Australasian Podiatry Council’s (APodC) </w:t>
      </w:r>
      <w:r w:rsidR="00933374">
        <w:rPr>
          <w:rFonts w:cs="Arial"/>
          <w:bCs/>
          <w:sz w:val="20"/>
          <w:szCs w:val="20"/>
        </w:rPr>
        <w:t>n</w:t>
      </w:r>
      <w:r w:rsidR="005F2169">
        <w:rPr>
          <w:rFonts w:cs="Arial"/>
          <w:bCs/>
          <w:sz w:val="20"/>
          <w:szCs w:val="20"/>
        </w:rPr>
        <w:t>ational conference in May 2015.</w:t>
      </w:r>
    </w:p>
    <w:p w:rsidR="00A61BCD" w:rsidRPr="005F2169" w:rsidRDefault="005F2169" w:rsidP="005F2169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5F2169">
        <w:rPr>
          <w:rFonts w:cs="Arial"/>
          <w:bCs/>
          <w:sz w:val="20"/>
          <w:szCs w:val="20"/>
        </w:rPr>
        <w:t xml:space="preserve">The </w:t>
      </w:r>
      <w:r w:rsidR="00A61BCD" w:rsidRPr="005F2169">
        <w:rPr>
          <w:rFonts w:cs="Arial"/>
          <w:bCs/>
          <w:sz w:val="20"/>
          <w:szCs w:val="20"/>
        </w:rPr>
        <w:t>Australasian Podiatry Conference</w:t>
      </w:r>
      <w:r w:rsidRPr="005F2169">
        <w:rPr>
          <w:rFonts w:cs="Arial"/>
          <w:bCs/>
          <w:sz w:val="20"/>
          <w:szCs w:val="20"/>
        </w:rPr>
        <w:t xml:space="preserve"> </w:t>
      </w:r>
      <w:r w:rsidR="00A61BCD" w:rsidRPr="005F2169">
        <w:rPr>
          <w:rFonts w:cs="Arial"/>
          <w:bCs/>
          <w:sz w:val="20"/>
          <w:szCs w:val="20"/>
        </w:rPr>
        <w:t>is being held on the Gold Coast from 6-8 May 2015</w:t>
      </w:r>
      <w:r w:rsidRPr="005F2169">
        <w:rPr>
          <w:rFonts w:cs="Arial"/>
          <w:bCs/>
          <w:sz w:val="20"/>
          <w:szCs w:val="20"/>
        </w:rPr>
        <w:t xml:space="preserve">. The Board’s workshop is titled </w:t>
      </w:r>
      <w:r w:rsidR="00A61BCD" w:rsidRPr="005F2169">
        <w:rPr>
          <w:rFonts w:cs="Arial"/>
          <w:bCs/>
          <w:i/>
          <w:sz w:val="20"/>
          <w:szCs w:val="20"/>
        </w:rPr>
        <w:t>Survey</w:t>
      </w:r>
      <w:r w:rsidRPr="005F2169">
        <w:rPr>
          <w:rFonts w:cs="Arial"/>
          <w:bCs/>
          <w:i/>
          <w:sz w:val="20"/>
          <w:szCs w:val="20"/>
        </w:rPr>
        <w:t>s, audit’s – what is the risk?</w:t>
      </w:r>
      <w:r w:rsidRPr="005F2169">
        <w:rPr>
          <w:rFonts w:cs="Arial"/>
          <w:bCs/>
          <w:sz w:val="20"/>
          <w:szCs w:val="20"/>
        </w:rPr>
        <w:t xml:space="preserve"> and will include discussion about ‘risk</w:t>
      </w:r>
      <w:r w:rsidR="00E715E9">
        <w:rPr>
          <w:rFonts w:cs="Arial"/>
          <w:bCs/>
          <w:sz w:val="20"/>
          <w:szCs w:val="20"/>
        </w:rPr>
        <w:t>-</w:t>
      </w:r>
      <w:r w:rsidRPr="005F2169">
        <w:rPr>
          <w:rFonts w:cs="Arial"/>
          <w:bCs/>
          <w:sz w:val="20"/>
          <w:szCs w:val="20"/>
        </w:rPr>
        <w:t>based regulation’. The Board will present outcomes on the Board’s survey of registrants</w:t>
      </w:r>
      <w:r w:rsidR="00E715E9">
        <w:rPr>
          <w:rFonts w:cs="Arial"/>
          <w:bCs/>
          <w:sz w:val="20"/>
          <w:szCs w:val="20"/>
        </w:rPr>
        <w:t>,</w:t>
      </w:r>
      <w:r w:rsidRPr="005F2169">
        <w:rPr>
          <w:rFonts w:cs="Arial"/>
          <w:bCs/>
          <w:sz w:val="20"/>
          <w:szCs w:val="20"/>
        </w:rPr>
        <w:t xml:space="preserve"> the Board’s audit </w:t>
      </w:r>
      <w:r w:rsidR="00A27F29" w:rsidRPr="005F2169">
        <w:rPr>
          <w:rFonts w:cs="Arial"/>
          <w:bCs/>
          <w:sz w:val="20"/>
          <w:szCs w:val="20"/>
        </w:rPr>
        <w:t>of registrants</w:t>
      </w:r>
      <w:r w:rsidRPr="005F2169">
        <w:rPr>
          <w:rFonts w:cs="Arial"/>
          <w:bCs/>
          <w:sz w:val="20"/>
          <w:szCs w:val="20"/>
        </w:rPr>
        <w:t xml:space="preserve"> and the Board’s </w:t>
      </w:r>
      <w:r w:rsidRPr="005F2169">
        <w:rPr>
          <w:rFonts w:cs="Arial"/>
          <w:sz w:val="20"/>
          <w:szCs w:val="20"/>
          <w:lang w:val="en-US"/>
        </w:rPr>
        <w:t>project</w:t>
      </w:r>
      <w:r>
        <w:rPr>
          <w:rFonts w:cs="Arial"/>
          <w:sz w:val="20"/>
          <w:szCs w:val="20"/>
          <w:lang w:val="en-US"/>
        </w:rPr>
        <w:t xml:space="preserve"> </w:t>
      </w:r>
      <w:r w:rsidRPr="005F2169">
        <w:rPr>
          <w:rFonts w:cs="Arial"/>
          <w:sz w:val="20"/>
          <w:szCs w:val="20"/>
          <w:lang w:val="en-US"/>
        </w:rPr>
        <w:t xml:space="preserve">analysing notification data from across Australia since the </w:t>
      </w:r>
      <w:r w:rsidR="00E715E9">
        <w:rPr>
          <w:rFonts w:cs="Arial"/>
          <w:sz w:val="20"/>
          <w:szCs w:val="20"/>
          <w:lang w:val="en-US"/>
        </w:rPr>
        <w:t xml:space="preserve">start </w:t>
      </w:r>
      <w:r w:rsidRPr="005F2169">
        <w:rPr>
          <w:rFonts w:cs="Arial"/>
          <w:sz w:val="20"/>
          <w:szCs w:val="20"/>
          <w:lang w:val="en-US"/>
        </w:rPr>
        <w:t xml:space="preserve">of the National </w:t>
      </w:r>
      <w:r w:rsidR="00E715E9">
        <w:rPr>
          <w:rFonts w:cs="Arial"/>
          <w:sz w:val="20"/>
          <w:szCs w:val="20"/>
          <w:lang w:val="en-US"/>
        </w:rPr>
        <w:t>R</w:t>
      </w:r>
      <w:r w:rsidRPr="005F2169">
        <w:rPr>
          <w:rFonts w:cs="Arial"/>
          <w:sz w:val="20"/>
          <w:szCs w:val="20"/>
          <w:lang w:val="en-US"/>
        </w:rPr>
        <w:t xml:space="preserve">egistration and </w:t>
      </w:r>
      <w:r w:rsidR="00E715E9">
        <w:rPr>
          <w:rFonts w:cs="Arial"/>
          <w:sz w:val="20"/>
          <w:szCs w:val="20"/>
          <w:lang w:val="en-US"/>
        </w:rPr>
        <w:t>A</w:t>
      </w:r>
      <w:r w:rsidRPr="005F2169">
        <w:rPr>
          <w:rFonts w:cs="Arial"/>
          <w:sz w:val="20"/>
          <w:szCs w:val="20"/>
          <w:lang w:val="en-US"/>
        </w:rPr>
        <w:t xml:space="preserve">ccreditation </w:t>
      </w:r>
      <w:r w:rsidR="00E715E9">
        <w:rPr>
          <w:rFonts w:cs="Arial"/>
          <w:sz w:val="20"/>
          <w:szCs w:val="20"/>
          <w:lang w:val="en-US"/>
        </w:rPr>
        <w:t>S</w:t>
      </w:r>
      <w:r w:rsidRPr="005F2169">
        <w:rPr>
          <w:rFonts w:cs="Arial"/>
          <w:sz w:val="20"/>
          <w:szCs w:val="20"/>
          <w:lang w:val="en-US"/>
        </w:rPr>
        <w:t>cheme on 1 July 2010.</w:t>
      </w:r>
    </w:p>
    <w:p w:rsidR="000E6E60" w:rsidRDefault="005F2169" w:rsidP="000E6E60">
      <w:pPr>
        <w:spacing w:before="270" w:after="270" w:line="270" w:lineRule="atLeast"/>
        <w:ind w:right="27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Information about the conference, including the programme and </w:t>
      </w:r>
      <w:r w:rsidR="00E715E9">
        <w:rPr>
          <w:rFonts w:cs="Arial"/>
          <w:bCs/>
          <w:sz w:val="20"/>
          <w:szCs w:val="20"/>
        </w:rPr>
        <w:t xml:space="preserve">how to </w:t>
      </w:r>
      <w:r w:rsidR="000E6E60">
        <w:rPr>
          <w:rFonts w:cs="Arial"/>
          <w:bCs/>
          <w:sz w:val="20"/>
          <w:szCs w:val="20"/>
        </w:rPr>
        <w:t>regist</w:t>
      </w:r>
      <w:r w:rsidR="00E715E9">
        <w:rPr>
          <w:rFonts w:cs="Arial"/>
          <w:bCs/>
          <w:sz w:val="20"/>
          <w:szCs w:val="20"/>
        </w:rPr>
        <w:t xml:space="preserve">er, </w:t>
      </w:r>
      <w:r w:rsidR="000E6E60">
        <w:rPr>
          <w:rFonts w:cs="Arial"/>
          <w:bCs/>
          <w:sz w:val="20"/>
          <w:szCs w:val="20"/>
        </w:rPr>
        <w:t xml:space="preserve">can be found on the </w:t>
      </w:r>
      <w:r w:rsidR="00A27F29">
        <w:rPr>
          <w:rFonts w:cs="Arial"/>
          <w:bCs/>
          <w:sz w:val="20"/>
          <w:szCs w:val="20"/>
        </w:rPr>
        <w:t xml:space="preserve">APodC </w:t>
      </w:r>
      <w:hyperlink r:id="rId9" w:history="1">
        <w:r w:rsidR="000E6E60">
          <w:rPr>
            <w:rStyle w:val="Hyperlink"/>
            <w:rFonts w:cs="Arial"/>
            <w:bCs/>
            <w:sz w:val="20"/>
            <w:szCs w:val="20"/>
          </w:rPr>
          <w:t>website</w:t>
        </w:r>
      </w:hyperlink>
      <w:r w:rsidR="000E6E60">
        <w:rPr>
          <w:rFonts w:cs="Arial"/>
          <w:bCs/>
          <w:sz w:val="20"/>
          <w:szCs w:val="20"/>
        </w:rPr>
        <w:t>.</w:t>
      </w:r>
    </w:p>
    <w:p w:rsidR="000E719B" w:rsidRDefault="000E719B" w:rsidP="000E719B">
      <w:pPr>
        <w:pStyle w:val="Default"/>
        <w:rPr>
          <w:b/>
          <w:bCs/>
          <w:color w:val="008EC4"/>
          <w:sz w:val="20"/>
          <w:szCs w:val="20"/>
        </w:rPr>
      </w:pPr>
    </w:p>
    <w:p w:rsidR="00A27F29" w:rsidRDefault="00A27F29" w:rsidP="000E719B">
      <w:pPr>
        <w:pStyle w:val="Default"/>
        <w:rPr>
          <w:b/>
          <w:bCs/>
          <w:color w:val="008EC4"/>
          <w:sz w:val="20"/>
          <w:szCs w:val="20"/>
        </w:rPr>
      </w:pPr>
    </w:p>
    <w:p w:rsidR="00A27F29" w:rsidRDefault="00A27F29" w:rsidP="000E719B">
      <w:pPr>
        <w:pStyle w:val="Default"/>
        <w:rPr>
          <w:b/>
          <w:bCs/>
          <w:color w:val="008EC4"/>
          <w:sz w:val="20"/>
          <w:szCs w:val="20"/>
        </w:rPr>
      </w:pPr>
    </w:p>
    <w:p w:rsidR="000E719B" w:rsidRDefault="000E719B" w:rsidP="000E719B">
      <w:pPr>
        <w:pStyle w:val="Default"/>
        <w:rPr>
          <w:b/>
          <w:bCs/>
          <w:color w:val="008EC4"/>
          <w:sz w:val="20"/>
          <w:szCs w:val="20"/>
        </w:rPr>
      </w:pPr>
      <w:r>
        <w:rPr>
          <w:b/>
          <w:bCs/>
          <w:color w:val="008EC4"/>
          <w:sz w:val="20"/>
          <w:szCs w:val="20"/>
        </w:rPr>
        <w:t>Board evaluation</w:t>
      </w:r>
    </w:p>
    <w:p w:rsidR="000E719B" w:rsidRDefault="000E719B" w:rsidP="000E719B">
      <w:pPr>
        <w:pStyle w:val="Default"/>
        <w:rPr>
          <w:b/>
          <w:bCs/>
          <w:color w:val="008EC4"/>
          <w:sz w:val="20"/>
          <w:szCs w:val="20"/>
        </w:rPr>
      </w:pPr>
    </w:p>
    <w:p w:rsidR="000E719B" w:rsidRPr="000E719B" w:rsidRDefault="000E719B" w:rsidP="000E719B">
      <w:pPr>
        <w:pStyle w:val="Default"/>
        <w:rPr>
          <w:color w:val="auto"/>
          <w:sz w:val="20"/>
          <w:szCs w:val="20"/>
        </w:rPr>
      </w:pPr>
      <w:r w:rsidRPr="000E719B">
        <w:rPr>
          <w:color w:val="auto"/>
          <w:sz w:val="20"/>
          <w:szCs w:val="20"/>
        </w:rPr>
        <w:t>Board evaluation is widely accepted as a key element of good practice in board governance. As part of the Board’s commitment to ongoing improvement, the Board recently participated in a Board evaluation and then had a facilitated discussion to reflect on the outcomes. This will help the Board to ensure it continues to work effectively to meet its regulatory obligations.</w:t>
      </w:r>
    </w:p>
    <w:p w:rsidR="00875FE3" w:rsidRPr="0043111F" w:rsidRDefault="00875FE3" w:rsidP="000E6E60">
      <w:pPr>
        <w:spacing w:before="270" w:after="270" w:line="270" w:lineRule="atLeast"/>
        <w:ind w:right="270"/>
        <w:rPr>
          <w:rFonts w:cs="Arial"/>
          <w:b/>
          <w:bCs/>
          <w:color w:val="008EC4"/>
          <w:sz w:val="20"/>
          <w:szCs w:val="20"/>
        </w:rPr>
      </w:pPr>
      <w:r w:rsidRPr="0043111F">
        <w:rPr>
          <w:rFonts w:cs="Arial"/>
          <w:b/>
          <w:bCs/>
          <w:color w:val="008EC4"/>
          <w:sz w:val="20"/>
          <w:szCs w:val="20"/>
        </w:rPr>
        <w:t>Security tip – keep your web browser updated</w:t>
      </w:r>
    </w:p>
    <w:p w:rsidR="00875FE3" w:rsidRPr="0043111F" w:rsidRDefault="00FB7894" w:rsidP="00875FE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43111F">
        <w:rPr>
          <w:rFonts w:cs="Arial"/>
          <w:sz w:val="20"/>
          <w:szCs w:val="20"/>
        </w:rPr>
        <w:t xml:space="preserve">The Board has recently published information about changes to the AHPRA and </w:t>
      </w:r>
      <w:r w:rsidR="0043111F">
        <w:rPr>
          <w:rFonts w:cs="Arial"/>
          <w:sz w:val="20"/>
          <w:szCs w:val="20"/>
        </w:rPr>
        <w:t xml:space="preserve">National </w:t>
      </w:r>
      <w:r w:rsidRPr="0043111F">
        <w:rPr>
          <w:rFonts w:cs="Arial"/>
          <w:sz w:val="20"/>
          <w:szCs w:val="20"/>
        </w:rPr>
        <w:t xml:space="preserve">Board websites </w:t>
      </w:r>
      <w:r w:rsidR="00875FE3" w:rsidRPr="0043111F">
        <w:rPr>
          <w:rFonts w:cs="Arial"/>
          <w:sz w:val="20"/>
          <w:szCs w:val="20"/>
        </w:rPr>
        <w:t xml:space="preserve">to </w:t>
      </w:r>
      <w:r w:rsidR="0043111F">
        <w:rPr>
          <w:rFonts w:cs="Arial"/>
          <w:sz w:val="20"/>
          <w:szCs w:val="20"/>
        </w:rPr>
        <w:t>en</w:t>
      </w:r>
      <w:r w:rsidR="00875FE3" w:rsidRPr="0043111F">
        <w:rPr>
          <w:rFonts w:cs="Arial"/>
          <w:sz w:val="20"/>
          <w:szCs w:val="20"/>
        </w:rPr>
        <w:t>sure your</w:t>
      </w:r>
      <w:r w:rsidR="00BC2889" w:rsidRPr="0043111F">
        <w:rPr>
          <w:rFonts w:cs="Arial"/>
          <w:sz w:val="20"/>
          <w:szCs w:val="20"/>
        </w:rPr>
        <w:t xml:space="preserve"> </w:t>
      </w:r>
      <w:r w:rsidR="00875FE3" w:rsidRPr="0043111F">
        <w:rPr>
          <w:rFonts w:cs="Arial"/>
          <w:sz w:val="20"/>
          <w:szCs w:val="20"/>
        </w:rPr>
        <w:t>information is kept safe.</w:t>
      </w:r>
    </w:p>
    <w:p w:rsidR="00BC2889" w:rsidRPr="0043111F" w:rsidRDefault="00BC2889" w:rsidP="00875FE3">
      <w:pPr>
        <w:autoSpaceDE w:val="0"/>
        <w:autoSpaceDN w:val="0"/>
        <w:adjustRightInd w:val="0"/>
        <w:spacing w:after="0"/>
        <w:rPr>
          <w:rFonts w:cs="Arial"/>
          <w:color w:val="5F6062"/>
          <w:sz w:val="20"/>
          <w:szCs w:val="20"/>
          <w:lang w:val="en-US"/>
        </w:rPr>
      </w:pPr>
    </w:p>
    <w:p w:rsidR="00875FE3" w:rsidRPr="0043111F" w:rsidRDefault="00EC2949" w:rsidP="00875FE3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 w:rsidRPr="00EC2949">
        <w:rPr>
          <w:rFonts w:cs="Arial"/>
          <w:sz w:val="20"/>
          <w:szCs w:val="20"/>
          <w:lang w:val="en-US"/>
        </w:rPr>
        <w:t>From early April 2015, anyone using Internet Explorer version 6 (or an older version) to view the AHPRA and Board websites is likely to experience difficulty accessing web pages and online services.</w:t>
      </w:r>
    </w:p>
    <w:p w:rsidR="00BC2889" w:rsidRPr="0043111F" w:rsidRDefault="00BC2889" w:rsidP="00875FE3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:rsidR="0040172B" w:rsidRDefault="00875FE3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43111F">
        <w:rPr>
          <w:rFonts w:cs="Arial"/>
          <w:sz w:val="20"/>
          <w:szCs w:val="20"/>
          <w:lang w:val="en-US"/>
        </w:rPr>
        <w:t>To avoid an interruption to service, we recommend you</w:t>
      </w:r>
      <w:r w:rsidR="00BC2889" w:rsidRPr="0043111F">
        <w:rPr>
          <w:rFonts w:cs="Arial"/>
          <w:sz w:val="20"/>
          <w:szCs w:val="20"/>
          <w:lang w:val="en-US"/>
        </w:rPr>
        <w:t xml:space="preserve"> </w:t>
      </w:r>
      <w:r w:rsidRPr="0043111F">
        <w:rPr>
          <w:rFonts w:cs="Arial"/>
          <w:sz w:val="20"/>
          <w:szCs w:val="20"/>
          <w:lang w:val="en-US"/>
        </w:rPr>
        <w:t>upgrade to the newest version of Internet Explorer</w:t>
      </w:r>
      <w:r w:rsidR="008E021A" w:rsidRPr="0043111F">
        <w:rPr>
          <w:rFonts w:cs="Arial"/>
          <w:sz w:val="20"/>
          <w:szCs w:val="20"/>
          <w:lang w:val="en-US"/>
        </w:rPr>
        <w:t xml:space="preserve"> </w:t>
      </w:r>
      <w:r w:rsidRPr="0043111F">
        <w:rPr>
          <w:rFonts w:cs="Arial"/>
          <w:sz w:val="20"/>
          <w:szCs w:val="20"/>
          <w:lang w:val="en-US"/>
        </w:rPr>
        <w:t>immediately. It is available for free from Microsoft.</w:t>
      </w:r>
      <w:r w:rsidR="0043111F">
        <w:rPr>
          <w:rFonts w:cs="Arial"/>
          <w:sz w:val="20"/>
          <w:szCs w:val="20"/>
          <w:lang w:val="en-US"/>
        </w:rPr>
        <w:t xml:space="preserve"> Read more </w:t>
      </w:r>
      <w:r w:rsidR="0027644D" w:rsidRPr="0043111F">
        <w:rPr>
          <w:rFonts w:cs="Arial"/>
          <w:bCs/>
          <w:sz w:val="20"/>
          <w:szCs w:val="20"/>
        </w:rPr>
        <w:t xml:space="preserve">on the </w:t>
      </w:r>
      <w:hyperlink r:id="rId10" w:history="1">
        <w:r w:rsidR="00EC2949">
          <w:rPr>
            <w:rStyle w:val="Hyperlink"/>
            <w:rFonts w:cs="Arial"/>
            <w:bCs/>
            <w:sz w:val="20"/>
            <w:szCs w:val="20"/>
          </w:rPr>
          <w:t>Board's website</w:t>
        </w:r>
      </w:hyperlink>
      <w:r w:rsidR="0043111F">
        <w:rPr>
          <w:rStyle w:val="Hyperlink"/>
          <w:rFonts w:cs="Arial"/>
          <w:bCs/>
          <w:sz w:val="20"/>
          <w:szCs w:val="20"/>
        </w:rPr>
        <w:t>.</w:t>
      </w:r>
    </w:p>
    <w:p w:rsidR="00975AA1" w:rsidRPr="000B1523" w:rsidRDefault="00975AA1" w:rsidP="000B1523">
      <w:pPr>
        <w:spacing w:before="270" w:after="270" w:line="270" w:lineRule="atLeast"/>
        <w:ind w:right="270"/>
        <w:rPr>
          <w:rFonts w:cs="Arial"/>
          <w:b/>
          <w:bCs/>
          <w:color w:val="008EC4"/>
          <w:sz w:val="20"/>
          <w:szCs w:val="20"/>
        </w:rPr>
      </w:pPr>
      <w:r w:rsidRPr="000B1523">
        <w:rPr>
          <w:rFonts w:cs="Arial"/>
          <w:b/>
          <w:bCs/>
          <w:color w:val="008EC4"/>
          <w:sz w:val="20"/>
          <w:szCs w:val="20"/>
        </w:rPr>
        <w:t xml:space="preserve">Further information </w:t>
      </w:r>
    </w:p>
    <w:p w:rsidR="00975AA1" w:rsidRPr="00B478FC" w:rsidRDefault="00975AA1" w:rsidP="00A410B7">
      <w:pPr>
        <w:pStyle w:val="AHPRAbody"/>
        <w:rPr>
          <w:lang w:eastAsia="en-AU"/>
        </w:rPr>
      </w:pPr>
      <w:r w:rsidRPr="00B478FC">
        <w:rPr>
          <w:lang w:eastAsia="en-AU"/>
        </w:rPr>
        <w:t xml:space="preserve">Further information about the Board can be found on </w:t>
      </w:r>
      <w:r w:rsidR="00531C63">
        <w:rPr>
          <w:lang w:eastAsia="en-AU"/>
        </w:rPr>
        <w:t>i</w:t>
      </w:r>
      <w:r w:rsidR="00393DFB">
        <w:rPr>
          <w:lang w:eastAsia="en-AU"/>
        </w:rPr>
        <w:t>t</w:t>
      </w:r>
      <w:r w:rsidR="00531C63">
        <w:rPr>
          <w:lang w:eastAsia="en-AU"/>
        </w:rPr>
        <w:t>s</w:t>
      </w:r>
      <w:r w:rsidR="00393DFB" w:rsidRPr="00B478FC">
        <w:rPr>
          <w:lang w:eastAsia="en-AU"/>
        </w:rPr>
        <w:t xml:space="preserve"> </w:t>
      </w:r>
      <w:hyperlink r:id="rId11" w:history="1">
        <w:r w:rsidRPr="002E3447">
          <w:rPr>
            <w:rStyle w:val="Hyperlink"/>
            <w:lang w:eastAsia="en-AU"/>
          </w:rPr>
          <w:t>website</w:t>
        </w:r>
      </w:hyperlink>
      <w:r w:rsidRPr="00B478FC">
        <w:rPr>
          <w:lang w:eastAsia="en-AU"/>
        </w:rPr>
        <w:t xml:space="preserve"> and practitioners are encouraged to refer to the site for news and updates on </w:t>
      </w:r>
      <w:r w:rsidR="00393DFB">
        <w:rPr>
          <w:lang w:eastAsia="en-AU"/>
        </w:rPr>
        <w:t>p</w:t>
      </w:r>
      <w:r w:rsidR="00393DFB" w:rsidRPr="00B478FC">
        <w:rPr>
          <w:lang w:eastAsia="en-AU"/>
        </w:rPr>
        <w:t>olic</w:t>
      </w:r>
      <w:r w:rsidR="00393DFB">
        <w:rPr>
          <w:lang w:eastAsia="en-AU"/>
        </w:rPr>
        <w:t>ies</w:t>
      </w:r>
      <w:r w:rsidR="00393DFB" w:rsidRPr="00B478FC">
        <w:rPr>
          <w:lang w:eastAsia="en-AU"/>
        </w:rPr>
        <w:t xml:space="preserve"> </w:t>
      </w:r>
      <w:r w:rsidRPr="00B478FC">
        <w:rPr>
          <w:lang w:eastAsia="en-AU"/>
        </w:rPr>
        <w:t xml:space="preserve">and </w:t>
      </w:r>
      <w:r w:rsidR="00393DFB">
        <w:rPr>
          <w:lang w:eastAsia="en-AU"/>
        </w:rPr>
        <w:t>g</w:t>
      </w:r>
      <w:r w:rsidR="00393DFB" w:rsidRPr="00B478FC">
        <w:rPr>
          <w:lang w:eastAsia="en-AU"/>
        </w:rPr>
        <w:t xml:space="preserve">uidelines </w:t>
      </w:r>
      <w:r w:rsidRPr="00B478FC">
        <w:rPr>
          <w:lang w:eastAsia="en-AU"/>
        </w:rPr>
        <w:t xml:space="preserve">affecting their profession. </w:t>
      </w:r>
    </w:p>
    <w:p w:rsidR="00EB22A7" w:rsidRDefault="00EB22A7" w:rsidP="00975AA1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  <w:lang w:eastAsia="en-AU"/>
        </w:rPr>
      </w:pPr>
    </w:p>
    <w:p w:rsidR="00975AA1" w:rsidRPr="00B478FC" w:rsidRDefault="00975AA1" w:rsidP="00975AA1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  <w:lang w:eastAsia="en-AU"/>
        </w:rPr>
        <w:t>Cathy Loughry</w:t>
      </w:r>
    </w:p>
    <w:p w:rsidR="00975AA1" w:rsidRPr="00B478FC" w:rsidRDefault="00975AA1" w:rsidP="00975AA1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  <w:lang w:eastAsia="en-AU"/>
        </w:rPr>
      </w:pPr>
      <w:r w:rsidRPr="00B478FC">
        <w:rPr>
          <w:rFonts w:cs="Arial"/>
          <w:color w:val="000000"/>
          <w:sz w:val="20"/>
          <w:szCs w:val="20"/>
          <w:lang w:eastAsia="en-AU"/>
        </w:rPr>
        <w:t xml:space="preserve">Chair </w:t>
      </w:r>
    </w:p>
    <w:p w:rsidR="00975AA1" w:rsidRPr="007663CA" w:rsidRDefault="00975AA1" w:rsidP="00975AA1">
      <w:pPr>
        <w:spacing w:after="0"/>
        <w:rPr>
          <w:rFonts w:cs="Arial"/>
          <w:b/>
          <w:color w:val="000000"/>
          <w:sz w:val="20"/>
          <w:szCs w:val="20"/>
          <w:lang w:eastAsia="en-AU"/>
        </w:rPr>
      </w:pPr>
      <w:r w:rsidRPr="007663CA">
        <w:rPr>
          <w:rFonts w:cs="Arial"/>
          <w:b/>
          <w:color w:val="000000"/>
          <w:sz w:val="20"/>
          <w:szCs w:val="20"/>
          <w:lang w:eastAsia="en-AU"/>
        </w:rPr>
        <w:t>Podiatry Board of Australia</w:t>
      </w:r>
    </w:p>
    <w:p w:rsidR="00E77E23" w:rsidRPr="000E7E28" w:rsidRDefault="0040172B" w:rsidP="00975AA1">
      <w:r>
        <w:rPr>
          <w:rFonts w:cs="Arial"/>
          <w:color w:val="000000"/>
          <w:sz w:val="20"/>
          <w:szCs w:val="20"/>
          <w:lang w:eastAsia="en-AU"/>
        </w:rPr>
        <w:t xml:space="preserve">2 </w:t>
      </w:r>
      <w:r w:rsidR="0043111F">
        <w:rPr>
          <w:rFonts w:cs="Arial"/>
          <w:color w:val="000000"/>
          <w:sz w:val="20"/>
          <w:szCs w:val="20"/>
          <w:lang w:eastAsia="en-AU"/>
        </w:rPr>
        <w:t>April</w:t>
      </w:r>
      <w:r w:rsidR="00AC0415">
        <w:rPr>
          <w:rFonts w:cs="Arial"/>
          <w:color w:val="000000"/>
          <w:sz w:val="20"/>
          <w:szCs w:val="20"/>
          <w:lang w:eastAsia="en-AU"/>
        </w:rPr>
        <w:t xml:space="preserve"> 2015</w:t>
      </w:r>
    </w:p>
    <w:sectPr w:rsidR="00E77E23" w:rsidRPr="000E7E28" w:rsidSect="004B438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2B" w:rsidRDefault="0040172B" w:rsidP="00FC2881">
      <w:pPr>
        <w:spacing w:after="0"/>
      </w:pPr>
      <w:r>
        <w:separator/>
      </w:r>
    </w:p>
    <w:p w:rsidR="0040172B" w:rsidRDefault="0040172B"/>
  </w:endnote>
  <w:endnote w:type="continuationSeparator" w:id="0">
    <w:p w:rsidR="0040172B" w:rsidRDefault="0040172B" w:rsidP="00FC2881">
      <w:pPr>
        <w:spacing w:after="0"/>
      </w:pPr>
      <w:r>
        <w:continuationSeparator/>
      </w:r>
    </w:p>
    <w:p w:rsidR="0040172B" w:rsidRDefault="00401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2B" w:rsidRDefault="0040172B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0172B" w:rsidRDefault="0040172B" w:rsidP="00FC2881">
    <w:pPr>
      <w:pStyle w:val="AHPRAfootnote"/>
      <w:ind w:right="360"/>
    </w:pPr>
  </w:p>
  <w:p w:rsidR="0040172B" w:rsidRDefault="004017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2B" w:rsidRPr="000E7E28" w:rsidRDefault="0040172B" w:rsidP="00975AA1">
    <w:pPr>
      <w:pStyle w:val="AHPRApagenumber"/>
      <w:jc w:val="left"/>
    </w:pPr>
    <w:r>
      <w:rPr>
        <w:i/>
        <w:iCs/>
        <w:color w:val="008EC4"/>
        <w:szCs w:val="18"/>
      </w:rPr>
      <w:t>Communiqué: Meeting of the Podiatry Board of Australia held on 25 March 2015</w:t>
    </w:r>
    <w:r>
      <w:rPr>
        <w:i/>
        <w:iCs/>
        <w:color w:val="008EC4"/>
        <w:szCs w:val="18"/>
      </w:rPr>
      <w:tab/>
    </w:r>
    <w:r>
      <w:rPr>
        <w:i/>
        <w:iCs/>
        <w:color w:val="008EC4"/>
        <w:szCs w:val="18"/>
      </w:rPr>
      <w:tab/>
      <w:t xml:space="preserve"> </w:t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9D6D22">
          <w:fldChar w:fldCharType="begin"/>
        </w:r>
        <w:r w:rsidR="009D6D22">
          <w:instrText xml:space="preserve"> PAGE </w:instrText>
        </w:r>
        <w:r w:rsidR="009D6D22">
          <w:fldChar w:fldCharType="separate"/>
        </w:r>
        <w:r w:rsidR="009D6D22">
          <w:rPr>
            <w:noProof/>
          </w:rPr>
          <w:t>2</w:t>
        </w:r>
        <w:r w:rsidR="009D6D22">
          <w:rPr>
            <w:noProof/>
          </w:rPr>
          <w:fldChar w:fldCharType="end"/>
        </w:r>
        <w:r w:rsidRPr="000E7E28">
          <w:t xml:space="preserve"> of </w:t>
        </w:r>
        <w:r w:rsidR="009D6D22">
          <w:fldChar w:fldCharType="begin"/>
        </w:r>
        <w:r w:rsidR="009D6D22">
          <w:instrText xml:space="preserve"> NUMPAGES  </w:instrText>
        </w:r>
        <w:r w:rsidR="009D6D22">
          <w:fldChar w:fldCharType="separate"/>
        </w:r>
        <w:r w:rsidR="009D6D22">
          <w:rPr>
            <w:noProof/>
          </w:rPr>
          <w:t>2</w:t>
        </w:r>
        <w:r w:rsidR="009D6D2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2B" w:rsidRPr="004B2A4E" w:rsidRDefault="0040172B" w:rsidP="004B2A4E">
    <w:pPr>
      <w:pStyle w:val="Footer"/>
    </w:pPr>
    <w:r w:rsidRPr="004B2A4E">
      <w:rPr>
        <w:rFonts w:cs="Arial"/>
        <w:color w:val="5F6062"/>
        <w:sz w:val="18"/>
        <w:szCs w:val="20"/>
        <w:lang w:val="en-US"/>
      </w:rPr>
      <w:t xml:space="preserve">The Board is established under the </w:t>
    </w:r>
    <w:r w:rsidRPr="00104EFD">
      <w:rPr>
        <w:rFonts w:cs="Arial"/>
        <w:color w:val="5F6062"/>
        <w:sz w:val="18"/>
        <w:szCs w:val="20"/>
        <w:lang w:val="en-US"/>
      </w:rPr>
      <w:t>Health Practitioner Regulation National Law</w:t>
    </w:r>
    <w:r>
      <w:rPr>
        <w:rFonts w:cs="Arial"/>
        <w:color w:val="5F6062"/>
        <w:sz w:val="18"/>
        <w:szCs w:val="20"/>
        <w:lang w:val="en-US"/>
      </w:rPr>
      <w:t xml:space="preserve">, as in force in each state and territory </w:t>
    </w:r>
    <w:r w:rsidRPr="004B2A4E">
      <w:rPr>
        <w:rFonts w:cs="Arial"/>
        <w:i/>
        <w:color w:val="5F6062"/>
        <w:sz w:val="18"/>
        <w:szCs w:val="20"/>
        <w:lang w:val="en-US"/>
      </w:rPr>
      <w:t>(</w:t>
    </w:r>
    <w:r>
      <w:rPr>
        <w:rFonts w:cs="Arial"/>
        <w:color w:val="5F6062"/>
        <w:sz w:val="18"/>
        <w:szCs w:val="20"/>
        <w:lang w:val="en-US"/>
      </w:rPr>
      <w:t xml:space="preserve">the </w:t>
    </w:r>
    <w:r w:rsidRPr="004B2A4E">
      <w:rPr>
        <w:rFonts w:cs="Arial"/>
        <w:color w:val="5F6062"/>
        <w:sz w:val="18"/>
        <w:szCs w:val="20"/>
        <w:lang w:val="en-US"/>
      </w:rPr>
      <w:t xml:space="preserve">National Law).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2B" w:rsidRDefault="0040172B" w:rsidP="000E7E28">
      <w:pPr>
        <w:spacing w:after="0"/>
      </w:pPr>
      <w:r>
        <w:separator/>
      </w:r>
    </w:p>
  </w:footnote>
  <w:footnote w:type="continuationSeparator" w:id="0">
    <w:p w:rsidR="0040172B" w:rsidRDefault="0040172B" w:rsidP="00FC2881">
      <w:pPr>
        <w:spacing w:after="0"/>
      </w:pPr>
      <w:r>
        <w:continuationSeparator/>
      </w:r>
    </w:p>
    <w:p w:rsidR="0040172B" w:rsidRDefault="0040172B"/>
  </w:footnote>
  <w:footnote w:type="continuationNotice" w:id="1">
    <w:p w:rsidR="0040172B" w:rsidRDefault="0040172B">
      <w:pPr>
        <w:spacing w:after="0"/>
      </w:pPr>
    </w:p>
  </w:footnote>
  <w:footnote w:id="2">
    <w:p w:rsidR="0040172B" w:rsidRDefault="0040172B">
      <w:pPr>
        <w:pStyle w:val="FootnoteText"/>
      </w:pPr>
      <w:r>
        <w:rPr>
          <w:rStyle w:val="FootnoteReference"/>
        </w:rPr>
        <w:footnoteRef/>
      </w:r>
      <w:r>
        <w:t xml:space="preserve"> The Health Practitioner Regulation National Law, as in force in each state and territory (the National Law)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2B" w:rsidRPr="00315933" w:rsidRDefault="0040172B" w:rsidP="00D638E0">
    <w:pPr>
      <w:ind w:left="-1134" w:right="-567"/>
      <w:jc w:val="right"/>
    </w:pPr>
  </w:p>
  <w:p w:rsidR="0040172B" w:rsidRDefault="004017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2B" w:rsidRDefault="0040172B" w:rsidP="00E844A0"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133985</wp:posOffset>
          </wp:positionV>
          <wp:extent cx="1725930" cy="1800225"/>
          <wp:effectExtent l="19050" t="0" r="7620" b="0"/>
          <wp:wrapNone/>
          <wp:docPr id="3" name="Picture 1" descr="AHPRA_Podiatr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odiatr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172B" w:rsidRDefault="0040172B" w:rsidP="00E844A0"/>
  <w:p w:rsidR="0040172B" w:rsidRDefault="0040172B" w:rsidP="00975AA1">
    <w:pPr>
      <w:jc w:val="right"/>
    </w:pPr>
  </w:p>
  <w:p w:rsidR="0040172B" w:rsidRDefault="0040172B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FFFFFF7C"/>
    <w:multiLevelType w:val="singleLevel"/>
    <w:tmpl w:val="F4620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F2D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920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D6A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F8A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2E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00C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CC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94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B8E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717"/>
    <w:multiLevelType w:val="multilevel"/>
    <w:tmpl w:val="7D7218D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BB17D6"/>
    <w:multiLevelType w:val="multilevel"/>
    <w:tmpl w:val="C4183F12"/>
    <w:numStyleLink w:val="AHPRANumberedlist"/>
  </w:abstractNum>
  <w:abstractNum w:abstractNumId="1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3">
    <w:nsid w:val="0C037DB3"/>
    <w:multiLevelType w:val="multilevel"/>
    <w:tmpl w:val="BE20683A"/>
    <w:numStyleLink w:val="AHPRANumberedheadinglist"/>
  </w:abstractNum>
  <w:abstractNum w:abstractNumId="1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5">
    <w:nsid w:val="1090257E"/>
    <w:multiLevelType w:val="hybridMultilevel"/>
    <w:tmpl w:val="90520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B2423"/>
    <w:multiLevelType w:val="hybridMultilevel"/>
    <w:tmpl w:val="9C42F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D19FF"/>
    <w:multiLevelType w:val="multilevel"/>
    <w:tmpl w:val="BE20683A"/>
    <w:numStyleLink w:val="AHPRANumberedheadinglist"/>
  </w:abstractNum>
  <w:abstractNum w:abstractNumId="18">
    <w:nsid w:val="164F0029"/>
    <w:multiLevelType w:val="hybridMultilevel"/>
    <w:tmpl w:val="A006992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2822578D"/>
    <w:multiLevelType w:val="multilevel"/>
    <w:tmpl w:val="BE20683A"/>
    <w:numStyleLink w:val="AHPRANumberedheadinglist"/>
  </w:abstractNum>
  <w:abstractNum w:abstractNumId="20">
    <w:nsid w:val="2EBF0E4B"/>
    <w:multiLevelType w:val="hybridMultilevel"/>
    <w:tmpl w:val="30441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17629"/>
    <w:multiLevelType w:val="hybridMultilevel"/>
    <w:tmpl w:val="DAC66026"/>
    <w:lvl w:ilvl="0" w:tplc="0C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4433A"/>
    <w:multiLevelType w:val="multilevel"/>
    <w:tmpl w:val="C4183F12"/>
    <w:numStyleLink w:val="AHPRANumberedlist"/>
  </w:abstractNum>
  <w:abstractNum w:abstractNumId="25">
    <w:nsid w:val="50FC1164"/>
    <w:multiLevelType w:val="hybridMultilevel"/>
    <w:tmpl w:val="16E22AA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58810AF1"/>
    <w:multiLevelType w:val="multilevel"/>
    <w:tmpl w:val="C234E0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954AE"/>
    <w:multiLevelType w:val="hybridMultilevel"/>
    <w:tmpl w:val="B726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E154B0"/>
    <w:multiLevelType w:val="multilevel"/>
    <w:tmpl w:val="C4183F12"/>
    <w:numStyleLink w:val="AHPRANumberedlist"/>
  </w:abstractNum>
  <w:abstractNum w:abstractNumId="3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31660"/>
    <w:multiLevelType w:val="multilevel"/>
    <w:tmpl w:val="C4183F12"/>
    <w:numStyleLink w:val="AHPRANumberedlist"/>
  </w:abstractNum>
  <w:num w:numId="1">
    <w:abstractNumId w:val="28"/>
  </w:num>
  <w:num w:numId="2">
    <w:abstractNumId w:val="23"/>
  </w:num>
  <w:num w:numId="3">
    <w:abstractNumId w:val="12"/>
  </w:num>
  <w:num w:numId="4">
    <w:abstractNumId w:val="14"/>
  </w:num>
  <w:num w:numId="5">
    <w:abstractNumId w:val="17"/>
  </w:num>
  <w:num w:numId="6">
    <w:abstractNumId w:val="19"/>
  </w:num>
  <w:num w:numId="7">
    <w:abstractNumId w:val="11"/>
  </w:num>
  <w:num w:numId="8">
    <w:abstractNumId w:val="21"/>
  </w:num>
  <w:num w:numId="9">
    <w:abstractNumId w:val="30"/>
  </w:num>
  <w:num w:numId="10">
    <w:abstractNumId w:val="24"/>
  </w:num>
  <w:num w:numId="11">
    <w:abstractNumId w:val="13"/>
  </w:num>
  <w:num w:numId="12">
    <w:abstractNumId w:val="29"/>
  </w:num>
  <w:num w:numId="13">
    <w:abstractNumId w:val="31"/>
  </w:num>
  <w:num w:numId="14">
    <w:abstractNumId w:val="18"/>
  </w:num>
  <w:num w:numId="15">
    <w:abstractNumId w:val="26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22"/>
  </w:num>
  <w:num w:numId="30">
    <w:abstractNumId w:val="10"/>
  </w:num>
  <w:num w:numId="31">
    <w:abstractNumId w:val="16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4E"/>
    <w:rsid w:val="00000033"/>
    <w:rsid w:val="00006922"/>
    <w:rsid w:val="00010C4B"/>
    <w:rsid w:val="000334D7"/>
    <w:rsid w:val="00071439"/>
    <w:rsid w:val="0007536F"/>
    <w:rsid w:val="000817B6"/>
    <w:rsid w:val="000945FB"/>
    <w:rsid w:val="00095FAE"/>
    <w:rsid w:val="000A6BF7"/>
    <w:rsid w:val="000A7295"/>
    <w:rsid w:val="000B1523"/>
    <w:rsid w:val="000E6E60"/>
    <w:rsid w:val="000E719B"/>
    <w:rsid w:val="000E7E28"/>
    <w:rsid w:val="000F5D90"/>
    <w:rsid w:val="0010139F"/>
    <w:rsid w:val="00104EFD"/>
    <w:rsid w:val="00144DEF"/>
    <w:rsid w:val="001506FE"/>
    <w:rsid w:val="00196F14"/>
    <w:rsid w:val="001B279D"/>
    <w:rsid w:val="001B798D"/>
    <w:rsid w:val="001C425C"/>
    <w:rsid w:val="001C71A5"/>
    <w:rsid w:val="001D4981"/>
    <w:rsid w:val="001E1E31"/>
    <w:rsid w:val="001E2849"/>
    <w:rsid w:val="001E4A94"/>
    <w:rsid w:val="001E5621"/>
    <w:rsid w:val="00201C01"/>
    <w:rsid w:val="00205CED"/>
    <w:rsid w:val="00220A3B"/>
    <w:rsid w:val="002231C8"/>
    <w:rsid w:val="00224708"/>
    <w:rsid w:val="0024451E"/>
    <w:rsid w:val="0027644D"/>
    <w:rsid w:val="0027712B"/>
    <w:rsid w:val="0028013F"/>
    <w:rsid w:val="002851A4"/>
    <w:rsid w:val="00295B44"/>
    <w:rsid w:val="002A0C96"/>
    <w:rsid w:val="002B2D48"/>
    <w:rsid w:val="002C08FB"/>
    <w:rsid w:val="002C34EA"/>
    <w:rsid w:val="002E3447"/>
    <w:rsid w:val="00303BE1"/>
    <w:rsid w:val="00305AFC"/>
    <w:rsid w:val="003160FE"/>
    <w:rsid w:val="003354E4"/>
    <w:rsid w:val="00382F3A"/>
    <w:rsid w:val="00393516"/>
    <w:rsid w:val="00393DFB"/>
    <w:rsid w:val="003D6DBD"/>
    <w:rsid w:val="003E00B5"/>
    <w:rsid w:val="003E3268"/>
    <w:rsid w:val="003F2F06"/>
    <w:rsid w:val="0040172B"/>
    <w:rsid w:val="00405C0A"/>
    <w:rsid w:val="00410235"/>
    <w:rsid w:val="00414F2C"/>
    <w:rsid w:val="0043111F"/>
    <w:rsid w:val="00450B34"/>
    <w:rsid w:val="00452D29"/>
    <w:rsid w:val="0045740A"/>
    <w:rsid w:val="004606A7"/>
    <w:rsid w:val="004A5E5D"/>
    <w:rsid w:val="004B2A4E"/>
    <w:rsid w:val="004B3B50"/>
    <w:rsid w:val="004B438E"/>
    <w:rsid w:val="004B747B"/>
    <w:rsid w:val="004D7537"/>
    <w:rsid w:val="004F572D"/>
    <w:rsid w:val="004F5C05"/>
    <w:rsid w:val="00516EF2"/>
    <w:rsid w:val="00531C63"/>
    <w:rsid w:val="00533D0E"/>
    <w:rsid w:val="0053749F"/>
    <w:rsid w:val="00546B56"/>
    <w:rsid w:val="00553A4C"/>
    <w:rsid w:val="00554335"/>
    <w:rsid w:val="005565CE"/>
    <w:rsid w:val="005708AE"/>
    <w:rsid w:val="005A0FA9"/>
    <w:rsid w:val="005B7F1F"/>
    <w:rsid w:val="005C296B"/>
    <w:rsid w:val="005C5932"/>
    <w:rsid w:val="005C6817"/>
    <w:rsid w:val="005C6F14"/>
    <w:rsid w:val="005E1B15"/>
    <w:rsid w:val="005F2169"/>
    <w:rsid w:val="00616043"/>
    <w:rsid w:val="00626644"/>
    <w:rsid w:val="00640B2C"/>
    <w:rsid w:val="006476D9"/>
    <w:rsid w:val="00667CAD"/>
    <w:rsid w:val="00670F48"/>
    <w:rsid w:val="00672A98"/>
    <w:rsid w:val="00677399"/>
    <w:rsid w:val="00681D5E"/>
    <w:rsid w:val="006C0257"/>
    <w:rsid w:val="006C0E29"/>
    <w:rsid w:val="006D30FE"/>
    <w:rsid w:val="006D3757"/>
    <w:rsid w:val="006D45FD"/>
    <w:rsid w:val="006D6D35"/>
    <w:rsid w:val="006F0DAB"/>
    <w:rsid w:val="006F585B"/>
    <w:rsid w:val="006F7348"/>
    <w:rsid w:val="006F796D"/>
    <w:rsid w:val="0070155F"/>
    <w:rsid w:val="00705F33"/>
    <w:rsid w:val="00711301"/>
    <w:rsid w:val="00713A7E"/>
    <w:rsid w:val="00722628"/>
    <w:rsid w:val="0072358E"/>
    <w:rsid w:val="00735191"/>
    <w:rsid w:val="007372A4"/>
    <w:rsid w:val="00741B04"/>
    <w:rsid w:val="0076115C"/>
    <w:rsid w:val="007663CA"/>
    <w:rsid w:val="007664F3"/>
    <w:rsid w:val="00767F24"/>
    <w:rsid w:val="00790DEA"/>
    <w:rsid w:val="0079197C"/>
    <w:rsid w:val="007953FD"/>
    <w:rsid w:val="007A35B9"/>
    <w:rsid w:val="007A6485"/>
    <w:rsid w:val="007B77D6"/>
    <w:rsid w:val="007C0B6E"/>
    <w:rsid w:val="007C19C9"/>
    <w:rsid w:val="007C2E55"/>
    <w:rsid w:val="007D4836"/>
    <w:rsid w:val="007D6CFE"/>
    <w:rsid w:val="007E2C84"/>
    <w:rsid w:val="007E3545"/>
    <w:rsid w:val="007F0095"/>
    <w:rsid w:val="008007C0"/>
    <w:rsid w:val="00815D4D"/>
    <w:rsid w:val="00823AB7"/>
    <w:rsid w:val="008338F7"/>
    <w:rsid w:val="00836397"/>
    <w:rsid w:val="0084183D"/>
    <w:rsid w:val="00845054"/>
    <w:rsid w:val="00852D1C"/>
    <w:rsid w:val="00856147"/>
    <w:rsid w:val="00860F40"/>
    <w:rsid w:val="008615C9"/>
    <w:rsid w:val="00864020"/>
    <w:rsid w:val="00875FE3"/>
    <w:rsid w:val="008979D5"/>
    <w:rsid w:val="008A4C3B"/>
    <w:rsid w:val="008B2AD7"/>
    <w:rsid w:val="008D6B7E"/>
    <w:rsid w:val="008D7845"/>
    <w:rsid w:val="008E021A"/>
    <w:rsid w:val="008F4B4F"/>
    <w:rsid w:val="00902C84"/>
    <w:rsid w:val="00903142"/>
    <w:rsid w:val="009031EA"/>
    <w:rsid w:val="00923B23"/>
    <w:rsid w:val="00933374"/>
    <w:rsid w:val="00937ED0"/>
    <w:rsid w:val="00941C87"/>
    <w:rsid w:val="00942C26"/>
    <w:rsid w:val="00952797"/>
    <w:rsid w:val="00975AA1"/>
    <w:rsid w:val="009777D3"/>
    <w:rsid w:val="0098204B"/>
    <w:rsid w:val="0098290A"/>
    <w:rsid w:val="00983D60"/>
    <w:rsid w:val="009859E6"/>
    <w:rsid w:val="009936B9"/>
    <w:rsid w:val="0099508D"/>
    <w:rsid w:val="009A0A5D"/>
    <w:rsid w:val="009C6933"/>
    <w:rsid w:val="009D6D22"/>
    <w:rsid w:val="009E1EEE"/>
    <w:rsid w:val="009F1B7F"/>
    <w:rsid w:val="009F2C17"/>
    <w:rsid w:val="00A029A8"/>
    <w:rsid w:val="00A04C7A"/>
    <w:rsid w:val="00A058E5"/>
    <w:rsid w:val="00A10C1A"/>
    <w:rsid w:val="00A1660D"/>
    <w:rsid w:val="00A2072E"/>
    <w:rsid w:val="00A237BB"/>
    <w:rsid w:val="00A27F29"/>
    <w:rsid w:val="00A410B7"/>
    <w:rsid w:val="00A458ED"/>
    <w:rsid w:val="00A509AB"/>
    <w:rsid w:val="00A61BCD"/>
    <w:rsid w:val="00A82078"/>
    <w:rsid w:val="00A838C8"/>
    <w:rsid w:val="00A91C42"/>
    <w:rsid w:val="00A9516B"/>
    <w:rsid w:val="00A9780A"/>
    <w:rsid w:val="00AA00AF"/>
    <w:rsid w:val="00AA2FC9"/>
    <w:rsid w:val="00AA42BC"/>
    <w:rsid w:val="00AA7AC9"/>
    <w:rsid w:val="00AB283D"/>
    <w:rsid w:val="00AB4DB6"/>
    <w:rsid w:val="00AC0415"/>
    <w:rsid w:val="00AD312E"/>
    <w:rsid w:val="00AE3EAF"/>
    <w:rsid w:val="00B024B0"/>
    <w:rsid w:val="00B03FB8"/>
    <w:rsid w:val="00B166B9"/>
    <w:rsid w:val="00B17ACF"/>
    <w:rsid w:val="00B32284"/>
    <w:rsid w:val="00B34EDA"/>
    <w:rsid w:val="00B51748"/>
    <w:rsid w:val="00B57198"/>
    <w:rsid w:val="00B664A0"/>
    <w:rsid w:val="00B6713F"/>
    <w:rsid w:val="00B67A02"/>
    <w:rsid w:val="00B7186B"/>
    <w:rsid w:val="00B85023"/>
    <w:rsid w:val="00BA2456"/>
    <w:rsid w:val="00BA469B"/>
    <w:rsid w:val="00BB1A20"/>
    <w:rsid w:val="00BB4A5B"/>
    <w:rsid w:val="00BC2889"/>
    <w:rsid w:val="00BF2534"/>
    <w:rsid w:val="00BF79DC"/>
    <w:rsid w:val="00C0048F"/>
    <w:rsid w:val="00C10FEE"/>
    <w:rsid w:val="00C175EF"/>
    <w:rsid w:val="00C35DE1"/>
    <w:rsid w:val="00C3795C"/>
    <w:rsid w:val="00C4082A"/>
    <w:rsid w:val="00C43196"/>
    <w:rsid w:val="00C43E21"/>
    <w:rsid w:val="00C524AA"/>
    <w:rsid w:val="00C54689"/>
    <w:rsid w:val="00C80113"/>
    <w:rsid w:val="00C81B3A"/>
    <w:rsid w:val="00C844D3"/>
    <w:rsid w:val="00C8721A"/>
    <w:rsid w:val="00CB3079"/>
    <w:rsid w:val="00CB6C08"/>
    <w:rsid w:val="00CD0DCA"/>
    <w:rsid w:val="00CD5405"/>
    <w:rsid w:val="00D106BC"/>
    <w:rsid w:val="00D12F61"/>
    <w:rsid w:val="00D201C6"/>
    <w:rsid w:val="00D50355"/>
    <w:rsid w:val="00D6371B"/>
    <w:rsid w:val="00D638E0"/>
    <w:rsid w:val="00D65E8A"/>
    <w:rsid w:val="00D716BA"/>
    <w:rsid w:val="00D8404D"/>
    <w:rsid w:val="00D87C12"/>
    <w:rsid w:val="00DC2952"/>
    <w:rsid w:val="00DF1AB7"/>
    <w:rsid w:val="00E07C02"/>
    <w:rsid w:val="00E12B06"/>
    <w:rsid w:val="00E15BF6"/>
    <w:rsid w:val="00E46122"/>
    <w:rsid w:val="00E54005"/>
    <w:rsid w:val="00E715E9"/>
    <w:rsid w:val="00E71CB9"/>
    <w:rsid w:val="00E73698"/>
    <w:rsid w:val="00E77E23"/>
    <w:rsid w:val="00E8251C"/>
    <w:rsid w:val="00E844A0"/>
    <w:rsid w:val="00E868A9"/>
    <w:rsid w:val="00EB22A7"/>
    <w:rsid w:val="00EC2949"/>
    <w:rsid w:val="00EE4685"/>
    <w:rsid w:val="00F13ED2"/>
    <w:rsid w:val="00F27ACB"/>
    <w:rsid w:val="00F3616F"/>
    <w:rsid w:val="00F505CB"/>
    <w:rsid w:val="00F54217"/>
    <w:rsid w:val="00F6618F"/>
    <w:rsid w:val="00F70DD5"/>
    <w:rsid w:val="00F73165"/>
    <w:rsid w:val="00F77B34"/>
    <w:rsid w:val="00F82206"/>
    <w:rsid w:val="00F90BCE"/>
    <w:rsid w:val="00FB7894"/>
    <w:rsid w:val="00FC2881"/>
    <w:rsid w:val="00FD30A7"/>
    <w:rsid w:val="00FD7DC1"/>
    <w:rsid w:val="00FE3F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60B2EFC0-1FEC-4B05-B8D7-4335085C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A628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Headline">
    <w:name w:val="AHPRA Headline"/>
    <w:basedOn w:val="Normal"/>
    <w:qFormat/>
    <w:rsid w:val="00975AA1"/>
    <w:rPr>
      <w:color w:val="008EC4"/>
      <w:sz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75AA1"/>
    <w:pPr>
      <w:spacing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975AA1"/>
    <w:rPr>
      <w:rFonts w:ascii="Calibri" w:eastAsia="Times New Roman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rsid w:val="004B2A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A4E"/>
    <w:rPr>
      <w:sz w:val="24"/>
      <w:szCs w:val="24"/>
      <w:lang w:val="en-AU"/>
    </w:rPr>
  </w:style>
  <w:style w:type="paragraph" w:customStyle="1" w:styleId="Default">
    <w:name w:val="Default"/>
    <w:rsid w:val="00CB3079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533D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1"/>
    <w:semiHidden/>
    <w:unhideWhenUsed/>
    <w:rsid w:val="007C2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7C2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7C2E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7C2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7C2E55"/>
    <w:rPr>
      <w:b/>
      <w:bCs/>
      <w:lang w:val="en-AU"/>
    </w:rPr>
  </w:style>
  <w:style w:type="paragraph" w:styleId="Revision">
    <w:name w:val="Revision"/>
    <w:hidden/>
    <w:semiHidden/>
    <w:rsid w:val="007C2E55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iatryboard.gov.au/About/Statistic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iatryboard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diatryboard.gov.au/News/2015-03-25-security-ale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dc.com.a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524E-A315-49F1-B32C-B98F851F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Johanna Villani Design</Company>
  <LinksUpToDate>false</LinksUpToDate>
  <CharactersWithSpaces>3516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Podiatry Board of Australia held on 25 March 2015</dc:title>
  <dc:subject>Communique</dc:subject>
  <dc:creator>Podiatry Board</dc:creator>
  <cp:keywords>25 March 2015</cp:keywords>
  <cp:lastModifiedBy>Tara Johnson</cp:lastModifiedBy>
  <cp:revision>2</cp:revision>
  <cp:lastPrinted>2012-02-10T00:45:00Z</cp:lastPrinted>
  <dcterms:created xsi:type="dcterms:W3CDTF">2015-04-02T04:09:00Z</dcterms:created>
  <dcterms:modified xsi:type="dcterms:W3CDTF">2015-04-02T04:09:00Z</dcterms:modified>
</cp:coreProperties>
</file>