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A8" w:rsidRPr="00F60681" w:rsidRDefault="00F06423" w:rsidP="008327A8">
      <w:pPr>
        <w:ind w:right="-143"/>
        <w:outlineLvl w:val="0"/>
        <w:rPr>
          <w:rFonts w:eastAsia="Cambria"/>
          <w:color w:val="00BCE4"/>
          <w:sz w:val="32"/>
          <w:szCs w:val="32"/>
          <w:lang w:val="en-US"/>
        </w:rPr>
      </w:pPr>
      <w:r w:rsidRPr="00F60681">
        <w:rPr>
          <w:rFonts w:eastAsia="Cambria"/>
          <w:color w:val="00BCE4"/>
          <w:sz w:val="32"/>
          <w:szCs w:val="32"/>
          <w:lang w:val="en-US"/>
        </w:rPr>
        <w:t xml:space="preserve">Registration standard for specialist </w:t>
      </w:r>
      <w:r w:rsidR="00A32FA1" w:rsidRPr="00F60681">
        <w:rPr>
          <w:rFonts w:eastAsia="Cambria"/>
          <w:color w:val="00BCE4"/>
          <w:sz w:val="32"/>
          <w:szCs w:val="32"/>
          <w:lang w:val="en-US"/>
        </w:rPr>
        <w:t>registration for</w:t>
      </w:r>
      <w:r w:rsidR="008F2B35" w:rsidRPr="00F60681">
        <w:rPr>
          <w:rFonts w:eastAsia="Cambria"/>
          <w:color w:val="00BCE4"/>
          <w:sz w:val="32"/>
          <w:szCs w:val="32"/>
          <w:lang w:val="en-US"/>
        </w:rPr>
        <w:t xml:space="preserve"> the podiatry specialty of podiatric surgery</w:t>
      </w:r>
    </w:p>
    <w:p w:rsidR="00F06423" w:rsidRDefault="00F06423" w:rsidP="008327A8">
      <w:pPr>
        <w:ind w:right="-143"/>
        <w:outlineLvl w:val="0"/>
        <w:rPr>
          <w:rFonts w:eastAsia="Cambria"/>
          <w:color w:val="008EC4"/>
          <w:sz w:val="32"/>
          <w:szCs w:val="32"/>
          <w:lang w:val="en-US"/>
        </w:rPr>
      </w:pPr>
    </w:p>
    <w:p w:rsidR="008327A8" w:rsidRDefault="00C35135" w:rsidP="008327A8">
      <w:pPr>
        <w:pStyle w:val="AHPRAHeadline"/>
        <w:outlineLvl w:val="0"/>
      </w:pPr>
      <w:r>
        <w:rPr>
          <w:rFonts w:cs="Arial"/>
          <w:noProof/>
          <w:color w:val="60605B"/>
          <w:sz w:val="32"/>
          <w:szCs w:val="32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349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MG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CeAbjCoiq1NaGBulRvZoXTb87pHTVEdXyGPx2MpCbhYzkXUq4OANFdsNnzSCGAH6c&#10;1bGxfYCEKaBjlOR0k4QfPaLwMc+nj9M5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"/>
        </w:pict>
      </w:r>
    </w:p>
    <w:p w:rsidR="00E51E68" w:rsidRPr="00E51E68" w:rsidRDefault="00E51E68" w:rsidP="00DC2549">
      <w:pPr>
        <w:pStyle w:val="AHPRASubhead"/>
        <w:rPr>
          <w:b w:val="0"/>
          <w:color w:val="auto"/>
          <w:szCs w:val="20"/>
        </w:rPr>
      </w:pPr>
      <w:r>
        <w:rPr>
          <w:b w:val="0"/>
          <w:color w:val="auto"/>
          <w:szCs w:val="20"/>
        </w:rPr>
        <w:t>February 2015</w:t>
      </w:r>
    </w:p>
    <w:p w:rsidR="008327A8" w:rsidRPr="00F60681" w:rsidRDefault="008327A8" w:rsidP="00DC2549">
      <w:pPr>
        <w:pStyle w:val="AHPRASubhead"/>
        <w:rPr>
          <w:color w:val="007DC3"/>
          <w:szCs w:val="20"/>
        </w:rPr>
      </w:pPr>
      <w:r w:rsidRPr="00F60681">
        <w:rPr>
          <w:color w:val="007DC3"/>
          <w:szCs w:val="20"/>
        </w:rPr>
        <w:t>Authority</w:t>
      </w:r>
      <w:bookmarkStart w:id="0" w:name="_GoBack"/>
      <w:bookmarkEnd w:id="0"/>
    </w:p>
    <w:p w:rsidR="00F34897" w:rsidRPr="00F60681" w:rsidRDefault="00FC7405" w:rsidP="00F34897">
      <w:pPr>
        <w:autoSpaceDE w:val="0"/>
        <w:autoSpaceDN w:val="0"/>
        <w:adjustRightInd w:val="0"/>
        <w:rPr>
          <w:rFonts w:eastAsiaTheme="minorHAnsi" w:cs="Arial"/>
          <w:sz w:val="20"/>
          <w:szCs w:val="20"/>
        </w:rPr>
      </w:pPr>
      <w:r w:rsidRPr="00F60681">
        <w:rPr>
          <w:rFonts w:eastAsiaTheme="minorHAnsi" w:cs="Arial"/>
          <w:sz w:val="20"/>
          <w:szCs w:val="20"/>
        </w:rPr>
        <w:t xml:space="preserve">This registration standard has been approved by the Australian Health Workforce Ministerial Council (the Ministerial Council) on </w:t>
      </w:r>
      <w:r w:rsidR="007D750D">
        <w:rPr>
          <w:rFonts w:eastAsiaTheme="minorHAnsi" w:cs="Arial"/>
          <w:sz w:val="20"/>
          <w:szCs w:val="20"/>
        </w:rPr>
        <w:t>10 October 2014</w:t>
      </w:r>
      <w:r w:rsidRPr="00F60681">
        <w:rPr>
          <w:rFonts w:eastAsiaTheme="minorHAnsi" w:cs="Arial"/>
          <w:sz w:val="20"/>
          <w:szCs w:val="20"/>
        </w:rPr>
        <w:t xml:space="preserve"> pursuant to the </w:t>
      </w:r>
      <w:r w:rsidRPr="00F60681">
        <w:rPr>
          <w:rFonts w:eastAsiaTheme="minorHAnsi" w:cs="Arial"/>
          <w:iCs/>
          <w:sz w:val="20"/>
          <w:szCs w:val="20"/>
        </w:rPr>
        <w:t>Health Practitioner Regulation National Law</w:t>
      </w:r>
      <w:r w:rsidR="007D750D">
        <w:rPr>
          <w:rFonts w:eastAsiaTheme="minorHAnsi" w:cs="Arial"/>
          <w:iCs/>
          <w:sz w:val="20"/>
          <w:szCs w:val="20"/>
        </w:rPr>
        <w:t>,</w:t>
      </w:r>
      <w:r w:rsidRPr="00F60681">
        <w:rPr>
          <w:rFonts w:eastAsiaTheme="minorHAnsi" w:cs="Arial"/>
          <w:sz w:val="20"/>
          <w:szCs w:val="20"/>
        </w:rPr>
        <w:t xml:space="preserve"> as in force in each state and territory</w:t>
      </w:r>
      <w:r w:rsidR="007D750D">
        <w:rPr>
          <w:rFonts w:eastAsiaTheme="minorHAnsi" w:cs="Arial"/>
          <w:sz w:val="20"/>
          <w:szCs w:val="20"/>
        </w:rPr>
        <w:t xml:space="preserve"> (the National Law)</w:t>
      </w:r>
      <w:r w:rsidRPr="00F60681">
        <w:rPr>
          <w:rFonts w:eastAsiaTheme="minorHAnsi" w:cs="Arial"/>
          <w:sz w:val="20"/>
          <w:szCs w:val="20"/>
        </w:rPr>
        <w:t>. It takes effect from</w:t>
      </w:r>
      <w:r w:rsidR="00F34897" w:rsidRPr="00F60681">
        <w:rPr>
          <w:rFonts w:eastAsiaTheme="minorHAnsi" w:cs="Arial"/>
          <w:sz w:val="20"/>
          <w:szCs w:val="20"/>
        </w:rPr>
        <w:t xml:space="preserve"> </w:t>
      </w:r>
      <w:r w:rsidR="00E51E68">
        <w:rPr>
          <w:rFonts w:eastAsiaTheme="minorHAnsi" w:cs="Arial"/>
          <w:sz w:val="20"/>
          <w:szCs w:val="20"/>
        </w:rPr>
        <w:t>24 February 2015</w:t>
      </w:r>
      <w:r w:rsidRPr="00F60681">
        <w:rPr>
          <w:rFonts w:eastAsiaTheme="minorHAnsi" w:cs="Arial"/>
          <w:sz w:val="20"/>
          <w:szCs w:val="20"/>
        </w:rPr>
        <w:t>.</w:t>
      </w:r>
    </w:p>
    <w:p w:rsidR="00F34897" w:rsidRPr="00F60681" w:rsidRDefault="00F34897" w:rsidP="00F34897">
      <w:pPr>
        <w:autoSpaceDE w:val="0"/>
        <w:autoSpaceDN w:val="0"/>
        <w:adjustRightInd w:val="0"/>
        <w:rPr>
          <w:rFonts w:eastAsiaTheme="minorHAnsi" w:cs="Arial"/>
          <w:color w:val="636467"/>
          <w:sz w:val="20"/>
          <w:szCs w:val="20"/>
        </w:rPr>
      </w:pPr>
    </w:p>
    <w:p w:rsidR="000C1E5C" w:rsidRPr="00F60681" w:rsidRDefault="000C1E5C" w:rsidP="00F34897">
      <w:pPr>
        <w:autoSpaceDE w:val="0"/>
        <w:autoSpaceDN w:val="0"/>
        <w:adjustRightInd w:val="0"/>
        <w:rPr>
          <w:rFonts w:eastAsia="Cambria"/>
          <w:b/>
          <w:color w:val="007DC3"/>
          <w:sz w:val="20"/>
          <w:szCs w:val="20"/>
          <w:lang w:val="en-US"/>
        </w:rPr>
      </w:pPr>
      <w:r w:rsidRPr="00F60681">
        <w:rPr>
          <w:rFonts w:eastAsia="Cambria"/>
          <w:b/>
          <w:color w:val="007DC3"/>
          <w:sz w:val="20"/>
          <w:szCs w:val="20"/>
          <w:lang w:val="en-US"/>
        </w:rPr>
        <w:t>Summary</w:t>
      </w:r>
    </w:p>
    <w:p w:rsidR="00F34897" w:rsidRPr="00F60681" w:rsidRDefault="00F34897" w:rsidP="000C1E5C">
      <w:pPr>
        <w:pStyle w:val="ListParagraph"/>
        <w:spacing w:after="120"/>
        <w:ind w:left="0"/>
        <w:rPr>
          <w:rFonts w:cs="Arial"/>
          <w:bCs/>
          <w:sz w:val="20"/>
          <w:szCs w:val="20"/>
        </w:rPr>
      </w:pPr>
    </w:p>
    <w:p w:rsidR="000C1E5C" w:rsidRPr="00F60681" w:rsidRDefault="000C1E5C" w:rsidP="000C1E5C">
      <w:pPr>
        <w:pStyle w:val="ListParagraph"/>
        <w:spacing w:after="120"/>
        <w:ind w:left="0"/>
        <w:rPr>
          <w:rFonts w:cs="Arial"/>
          <w:sz w:val="20"/>
          <w:szCs w:val="20"/>
        </w:rPr>
      </w:pPr>
      <w:r w:rsidRPr="00F60681">
        <w:rPr>
          <w:rFonts w:cs="Arial"/>
          <w:bCs/>
          <w:sz w:val="20"/>
          <w:szCs w:val="20"/>
        </w:rPr>
        <w:t xml:space="preserve">The </w:t>
      </w:r>
      <w:r w:rsidR="00A622AE" w:rsidRPr="00F60681">
        <w:rPr>
          <w:rFonts w:cs="Arial"/>
          <w:bCs/>
          <w:sz w:val="20"/>
          <w:szCs w:val="20"/>
        </w:rPr>
        <w:t>Podiatry Board of Australia (</w:t>
      </w:r>
      <w:r w:rsidRPr="00F60681">
        <w:rPr>
          <w:rFonts w:cs="Arial"/>
          <w:bCs/>
          <w:sz w:val="20"/>
          <w:szCs w:val="20"/>
        </w:rPr>
        <w:t>Board</w:t>
      </w:r>
      <w:r w:rsidR="00A622AE" w:rsidRPr="00F60681">
        <w:rPr>
          <w:rFonts w:cs="Arial"/>
          <w:bCs/>
          <w:sz w:val="20"/>
          <w:szCs w:val="20"/>
        </w:rPr>
        <w:t>)</w:t>
      </w:r>
      <w:r w:rsidRPr="00F60681">
        <w:rPr>
          <w:rFonts w:cs="Arial"/>
          <w:bCs/>
          <w:sz w:val="20"/>
          <w:szCs w:val="20"/>
        </w:rPr>
        <w:t xml:space="preserve"> has approval from the Australian Health Workforce Ministerial Council (Ministerial Council) </w:t>
      </w:r>
      <w:r w:rsidRPr="00F60681">
        <w:rPr>
          <w:rFonts w:cs="Arial"/>
          <w:sz w:val="20"/>
          <w:szCs w:val="20"/>
        </w:rPr>
        <w:t>for specialist registration for the podiatry specialty of podiatric surgery.</w:t>
      </w:r>
    </w:p>
    <w:p w:rsidR="000C1E5C" w:rsidRPr="00F60681" w:rsidRDefault="000C1E5C" w:rsidP="00D760FA">
      <w:pPr>
        <w:spacing w:after="120"/>
        <w:rPr>
          <w:rFonts w:cs="Arial"/>
          <w:bCs/>
          <w:sz w:val="20"/>
          <w:szCs w:val="20"/>
        </w:rPr>
      </w:pPr>
      <w:r w:rsidRPr="00F60681">
        <w:rPr>
          <w:rFonts w:cs="Arial"/>
          <w:bCs/>
          <w:sz w:val="20"/>
          <w:szCs w:val="20"/>
        </w:rPr>
        <w:t xml:space="preserve">The Board has developed this </w:t>
      </w:r>
      <w:r w:rsidR="003E4A79" w:rsidRPr="00F60681">
        <w:rPr>
          <w:rFonts w:cs="Arial"/>
          <w:bCs/>
          <w:sz w:val="20"/>
          <w:szCs w:val="20"/>
        </w:rPr>
        <w:t>s</w:t>
      </w:r>
      <w:r w:rsidR="00271A7B" w:rsidRPr="00F60681">
        <w:rPr>
          <w:rFonts w:cs="Arial"/>
          <w:bCs/>
          <w:sz w:val="20"/>
          <w:szCs w:val="20"/>
        </w:rPr>
        <w:t>tandard</w:t>
      </w:r>
      <w:r w:rsidRPr="00F60681">
        <w:rPr>
          <w:rFonts w:cs="Arial"/>
          <w:bCs/>
          <w:sz w:val="20"/>
          <w:szCs w:val="20"/>
        </w:rPr>
        <w:t xml:space="preserve"> for specialist registration under Part 7, Division 2 of the National Law.</w:t>
      </w:r>
    </w:p>
    <w:p w:rsidR="000C1E5C" w:rsidRPr="00F60681" w:rsidRDefault="000C1E5C" w:rsidP="00D760FA">
      <w:pPr>
        <w:spacing w:before="120" w:after="120"/>
        <w:rPr>
          <w:rFonts w:cs="Arial"/>
          <w:bCs/>
          <w:sz w:val="20"/>
          <w:szCs w:val="20"/>
        </w:rPr>
      </w:pPr>
      <w:r w:rsidRPr="00F60681">
        <w:rPr>
          <w:rFonts w:cs="Arial"/>
          <w:sz w:val="20"/>
          <w:szCs w:val="20"/>
        </w:rPr>
        <w:t xml:space="preserve">This </w:t>
      </w:r>
      <w:r w:rsidR="003E4A79" w:rsidRPr="00F60681">
        <w:rPr>
          <w:rFonts w:cs="Arial"/>
          <w:sz w:val="20"/>
          <w:szCs w:val="20"/>
        </w:rPr>
        <w:t>s</w:t>
      </w:r>
      <w:r w:rsidRPr="00F60681">
        <w:rPr>
          <w:rFonts w:cs="Arial"/>
          <w:sz w:val="20"/>
          <w:szCs w:val="20"/>
        </w:rPr>
        <w:t xml:space="preserve">tandard sets out the </w:t>
      </w:r>
      <w:r w:rsidRPr="00F60681">
        <w:rPr>
          <w:rFonts w:cs="Arial"/>
          <w:bCs/>
          <w:sz w:val="20"/>
          <w:szCs w:val="20"/>
        </w:rPr>
        <w:t xml:space="preserve">requirements that </w:t>
      </w:r>
      <w:r w:rsidR="001B6721" w:rsidRPr="00F60681">
        <w:rPr>
          <w:rFonts w:cs="Arial"/>
          <w:bCs/>
          <w:sz w:val="20"/>
          <w:szCs w:val="20"/>
        </w:rPr>
        <w:t xml:space="preserve">a podiatrist </w:t>
      </w:r>
      <w:r w:rsidRPr="00F60681">
        <w:rPr>
          <w:rFonts w:cs="Arial"/>
          <w:bCs/>
          <w:sz w:val="20"/>
          <w:szCs w:val="20"/>
        </w:rPr>
        <w:t xml:space="preserve">must </w:t>
      </w:r>
      <w:r w:rsidR="001B6721" w:rsidRPr="00F60681">
        <w:rPr>
          <w:rFonts w:cs="Arial"/>
          <w:bCs/>
          <w:sz w:val="20"/>
          <w:szCs w:val="20"/>
        </w:rPr>
        <w:t>meet</w:t>
      </w:r>
      <w:r w:rsidR="00AF3267" w:rsidRPr="00F60681">
        <w:rPr>
          <w:rFonts w:cs="Arial"/>
          <w:bCs/>
          <w:sz w:val="20"/>
          <w:szCs w:val="20"/>
        </w:rPr>
        <w:t xml:space="preserve"> </w:t>
      </w:r>
      <w:r w:rsidRPr="00F60681">
        <w:rPr>
          <w:rFonts w:cs="Arial"/>
          <w:bCs/>
          <w:sz w:val="20"/>
          <w:szCs w:val="20"/>
        </w:rPr>
        <w:t xml:space="preserve">to be granted specialist </w:t>
      </w:r>
      <w:r w:rsidR="00346FF7" w:rsidRPr="00F60681">
        <w:rPr>
          <w:rFonts w:cs="Arial"/>
          <w:bCs/>
          <w:sz w:val="20"/>
          <w:szCs w:val="20"/>
        </w:rPr>
        <w:t>registration to</w:t>
      </w:r>
      <w:r w:rsidRPr="00F60681">
        <w:rPr>
          <w:rFonts w:cs="Arial"/>
          <w:bCs/>
          <w:sz w:val="20"/>
          <w:szCs w:val="20"/>
        </w:rPr>
        <w:t xml:space="preserve"> </w:t>
      </w:r>
      <w:r w:rsidR="0034479E" w:rsidRPr="00F60681">
        <w:rPr>
          <w:rFonts w:cs="Arial"/>
          <w:bCs/>
          <w:sz w:val="20"/>
          <w:szCs w:val="20"/>
        </w:rPr>
        <w:t xml:space="preserve">practise </w:t>
      </w:r>
      <w:r w:rsidRPr="00F60681">
        <w:rPr>
          <w:rFonts w:cs="Arial"/>
          <w:bCs/>
          <w:sz w:val="20"/>
          <w:szCs w:val="20"/>
        </w:rPr>
        <w:t>as a podiatric surgeon</w:t>
      </w:r>
      <w:r w:rsidR="00D55728" w:rsidRPr="00F60681">
        <w:rPr>
          <w:rFonts w:cs="Arial"/>
          <w:bCs/>
          <w:sz w:val="20"/>
          <w:szCs w:val="20"/>
        </w:rPr>
        <w:t xml:space="preserve"> in Australia</w:t>
      </w:r>
      <w:r w:rsidR="004634DD" w:rsidRPr="00F60681">
        <w:rPr>
          <w:rFonts w:cs="Arial"/>
          <w:bCs/>
          <w:sz w:val="20"/>
          <w:szCs w:val="20"/>
        </w:rPr>
        <w:t xml:space="preserve"> and the ongoing requirements to maintain specialist registration</w:t>
      </w:r>
      <w:r w:rsidRPr="00F60681">
        <w:rPr>
          <w:rFonts w:cs="Arial"/>
          <w:bCs/>
          <w:sz w:val="20"/>
          <w:szCs w:val="20"/>
        </w:rPr>
        <w:t>.</w:t>
      </w:r>
    </w:p>
    <w:p w:rsidR="004A0654" w:rsidRPr="00F60681" w:rsidRDefault="00A32FA1" w:rsidP="004A0654">
      <w:pPr>
        <w:pStyle w:val="AHPRAbody"/>
        <w:jc w:val="both"/>
        <w:rPr>
          <w:rFonts w:ascii="Arial" w:hAnsi="Arial" w:cs="Arial"/>
          <w:szCs w:val="20"/>
        </w:rPr>
      </w:pPr>
      <w:r w:rsidRPr="00F60681">
        <w:rPr>
          <w:rFonts w:ascii="Arial" w:hAnsi="Arial" w:cs="Arial"/>
          <w:szCs w:val="20"/>
        </w:rPr>
        <w:t xml:space="preserve">An </w:t>
      </w:r>
      <w:r w:rsidR="00D55728" w:rsidRPr="00F60681">
        <w:rPr>
          <w:rFonts w:ascii="Arial" w:hAnsi="Arial" w:cs="Arial"/>
          <w:szCs w:val="20"/>
        </w:rPr>
        <w:t>applicant</w:t>
      </w:r>
      <w:r w:rsidR="00175388" w:rsidRPr="00F60681">
        <w:rPr>
          <w:rFonts w:ascii="Arial" w:hAnsi="Arial" w:cs="Arial"/>
          <w:szCs w:val="20"/>
        </w:rPr>
        <w:t xml:space="preserve"> for specialist registration </w:t>
      </w:r>
      <w:r w:rsidR="00AF3267" w:rsidRPr="00F60681">
        <w:rPr>
          <w:rFonts w:ascii="Arial" w:hAnsi="Arial" w:cs="Arial"/>
          <w:szCs w:val="20"/>
        </w:rPr>
        <w:t>must</w:t>
      </w:r>
      <w:r w:rsidR="00175388" w:rsidRPr="00F60681">
        <w:rPr>
          <w:rFonts w:ascii="Arial" w:hAnsi="Arial" w:cs="Arial"/>
          <w:szCs w:val="20"/>
        </w:rPr>
        <w:t xml:space="preserve"> be </w:t>
      </w:r>
      <w:r w:rsidR="00D802E0" w:rsidRPr="00F60681">
        <w:rPr>
          <w:rFonts w:ascii="Arial" w:hAnsi="Arial" w:cs="Arial"/>
          <w:szCs w:val="20"/>
        </w:rPr>
        <w:t xml:space="preserve">eligible </w:t>
      </w:r>
      <w:r w:rsidR="00175388" w:rsidRPr="00F60681">
        <w:rPr>
          <w:rFonts w:ascii="Arial" w:hAnsi="Arial" w:cs="Arial"/>
          <w:szCs w:val="20"/>
        </w:rPr>
        <w:t xml:space="preserve">for specialist registration; and have completed a minimum of two years </w:t>
      </w:r>
      <w:r w:rsidR="00BB1208" w:rsidRPr="00F60681">
        <w:rPr>
          <w:rFonts w:ascii="Arial" w:hAnsi="Arial" w:cs="Arial"/>
          <w:szCs w:val="20"/>
        </w:rPr>
        <w:t>full</w:t>
      </w:r>
      <w:r w:rsidR="007D750D">
        <w:rPr>
          <w:rFonts w:ascii="Arial" w:hAnsi="Arial" w:cs="Arial"/>
          <w:szCs w:val="20"/>
        </w:rPr>
        <w:t>-</w:t>
      </w:r>
      <w:r w:rsidR="00BB1208" w:rsidRPr="00F60681">
        <w:rPr>
          <w:rFonts w:ascii="Arial" w:hAnsi="Arial" w:cs="Arial"/>
          <w:szCs w:val="20"/>
        </w:rPr>
        <w:t xml:space="preserve">time </w:t>
      </w:r>
      <w:r w:rsidR="00DD7926" w:rsidRPr="00F60681">
        <w:rPr>
          <w:rFonts w:ascii="Arial" w:hAnsi="Arial" w:cs="Arial"/>
          <w:szCs w:val="20"/>
        </w:rPr>
        <w:t xml:space="preserve">(or equivalent) </w:t>
      </w:r>
      <w:r w:rsidR="00365ADD" w:rsidRPr="00F60681">
        <w:rPr>
          <w:rFonts w:ascii="Arial" w:hAnsi="Arial" w:cs="Arial"/>
          <w:szCs w:val="20"/>
        </w:rPr>
        <w:t xml:space="preserve">general podiatry </w:t>
      </w:r>
      <w:r w:rsidR="00B12C50" w:rsidRPr="00F60681">
        <w:rPr>
          <w:rFonts w:ascii="Arial" w:hAnsi="Arial" w:cs="Arial"/>
          <w:szCs w:val="20"/>
        </w:rPr>
        <w:t>practice in</w:t>
      </w:r>
      <w:r w:rsidR="00BB1208" w:rsidRPr="00F60681">
        <w:rPr>
          <w:rFonts w:ascii="Arial" w:hAnsi="Arial" w:cs="Arial"/>
          <w:szCs w:val="20"/>
        </w:rPr>
        <w:t xml:space="preserve"> a clinical </w:t>
      </w:r>
      <w:r w:rsidR="00D802E0" w:rsidRPr="00F60681">
        <w:rPr>
          <w:rFonts w:ascii="Arial" w:hAnsi="Arial" w:cs="Arial"/>
          <w:szCs w:val="20"/>
        </w:rPr>
        <w:t xml:space="preserve">setting. </w:t>
      </w:r>
      <w:r w:rsidR="00D55728" w:rsidRPr="00F60681">
        <w:rPr>
          <w:rFonts w:ascii="Arial" w:hAnsi="Arial" w:cs="Arial"/>
          <w:szCs w:val="20"/>
        </w:rPr>
        <w:t>An</w:t>
      </w:r>
      <w:r w:rsidR="00F3411C" w:rsidRPr="00F60681">
        <w:rPr>
          <w:rFonts w:ascii="Arial" w:hAnsi="Arial" w:cs="Arial"/>
          <w:szCs w:val="20"/>
        </w:rPr>
        <w:t xml:space="preserve"> applicant must </w:t>
      </w:r>
      <w:r w:rsidR="006C225E" w:rsidRPr="00F60681">
        <w:rPr>
          <w:rFonts w:ascii="Arial" w:hAnsi="Arial" w:cs="Arial"/>
          <w:szCs w:val="20"/>
        </w:rPr>
        <w:t xml:space="preserve">also </w:t>
      </w:r>
      <w:r w:rsidR="00F3411C" w:rsidRPr="00F60681">
        <w:rPr>
          <w:rFonts w:ascii="Arial" w:hAnsi="Arial" w:cs="Arial"/>
          <w:szCs w:val="20"/>
        </w:rPr>
        <w:t>meet</w:t>
      </w:r>
      <w:r w:rsidR="00D55728" w:rsidRPr="00F60681">
        <w:rPr>
          <w:rFonts w:ascii="Arial" w:hAnsi="Arial" w:cs="Arial"/>
          <w:szCs w:val="20"/>
        </w:rPr>
        <w:t xml:space="preserve"> </w:t>
      </w:r>
      <w:r w:rsidR="00BF6364" w:rsidRPr="00F60681">
        <w:rPr>
          <w:rFonts w:ascii="Arial" w:hAnsi="Arial" w:cs="Arial"/>
          <w:szCs w:val="20"/>
        </w:rPr>
        <w:t xml:space="preserve">the requirements </w:t>
      </w:r>
      <w:r w:rsidR="00D55728" w:rsidRPr="00F60681">
        <w:rPr>
          <w:rFonts w:ascii="Arial" w:hAnsi="Arial" w:cs="Arial"/>
          <w:szCs w:val="20"/>
        </w:rPr>
        <w:t>for general registration as a podiatrist in Australia</w:t>
      </w:r>
      <w:r w:rsidR="00587FB4" w:rsidRPr="00F60681">
        <w:rPr>
          <w:rFonts w:ascii="Arial" w:hAnsi="Arial" w:cs="Arial"/>
          <w:szCs w:val="20"/>
        </w:rPr>
        <w:t xml:space="preserve"> and any additional requirements for podiatric surgeons as specified in the Board’s registration standards</w:t>
      </w:r>
      <w:r w:rsidR="004A0654" w:rsidRPr="00F60681">
        <w:rPr>
          <w:rFonts w:ascii="Arial" w:hAnsi="Arial" w:cs="Arial"/>
          <w:color w:val="C0504D" w:themeColor="accent2"/>
          <w:szCs w:val="20"/>
        </w:rPr>
        <w:t xml:space="preserve">, </w:t>
      </w:r>
      <w:r w:rsidR="004A0654" w:rsidRPr="00F60681">
        <w:rPr>
          <w:rFonts w:ascii="Arial" w:hAnsi="Arial" w:cs="Arial"/>
          <w:szCs w:val="20"/>
        </w:rPr>
        <w:t>including the Board’s</w:t>
      </w:r>
      <w:r w:rsidR="004A0654" w:rsidRPr="007D750D">
        <w:rPr>
          <w:rFonts w:ascii="Arial" w:hAnsi="Arial" w:cs="Arial"/>
          <w:i/>
          <w:szCs w:val="20"/>
        </w:rPr>
        <w:t xml:space="preserve"> Continuing </w:t>
      </w:r>
      <w:r w:rsidR="007D750D" w:rsidRPr="007D750D">
        <w:rPr>
          <w:rFonts w:ascii="Arial" w:hAnsi="Arial" w:cs="Arial"/>
          <w:i/>
          <w:szCs w:val="20"/>
        </w:rPr>
        <w:t>p</w:t>
      </w:r>
      <w:r w:rsidR="004A0654" w:rsidRPr="007D750D">
        <w:rPr>
          <w:rFonts w:ascii="Arial" w:hAnsi="Arial" w:cs="Arial"/>
          <w:i/>
          <w:szCs w:val="20"/>
        </w:rPr>
        <w:t xml:space="preserve">rofessional </w:t>
      </w:r>
      <w:r w:rsidR="007D750D" w:rsidRPr="007D750D">
        <w:rPr>
          <w:rFonts w:ascii="Arial" w:hAnsi="Arial" w:cs="Arial"/>
          <w:i/>
          <w:szCs w:val="20"/>
        </w:rPr>
        <w:t>d</w:t>
      </w:r>
      <w:r w:rsidR="004A0654" w:rsidRPr="007D750D">
        <w:rPr>
          <w:rFonts w:ascii="Arial" w:hAnsi="Arial" w:cs="Arial"/>
          <w:i/>
          <w:szCs w:val="20"/>
        </w:rPr>
        <w:t xml:space="preserve">evelopment </w:t>
      </w:r>
      <w:r w:rsidR="007D750D" w:rsidRPr="007D750D">
        <w:rPr>
          <w:rFonts w:ascii="Arial" w:hAnsi="Arial" w:cs="Arial"/>
          <w:i/>
          <w:szCs w:val="20"/>
        </w:rPr>
        <w:t>r</w:t>
      </w:r>
      <w:r w:rsidR="004A0654" w:rsidRPr="007D750D">
        <w:rPr>
          <w:rFonts w:ascii="Arial" w:hAnsi="Arial" w:cs="Arial"/>
          <w:i/>
          <w:szCs w:val="20"/>
        </w:rPr>
        <w:t xml:space="preserve">egistration </w:t>
      </w:r>
      <w:r w:rsidR="007D750D" w:rsidRPr="007D750D">
        <w:rPr>
          <w:rFonts w:ascii="Arial" w:hAnsi="Arial" w:cs="Arial"/>
          <w:i/>
          <w:szCs w:val="20"/>
        </w:rPr>
        <w:t>s</w:t>
      </w:r>
      <w:r w:rsidR="004A0654" w:rsidRPr="007D750D">
        <w:rPr>
          <w:rFonts w:ascii="Arial" w:hAnsi="Arial" w:cs="Arial"/>
          <w:i/>
          <w:szCs w:val="20"/>
        </w:rPr>
        <w:t>tandard</w:t>
      </w:r>
      <w:r w:rsidR="004A0654" w:rsidRPr="00F60681">
        <w:rPr>
          <w:rFonts w:ascii="Arial" w:hAnsi="Arial" w:cs="Arial"/>
          <w:szCs w:val="20"/>
        </w:rPr>
        <w:t>.</w:t>
      </w:r>
    </w:p>
    <w:p w:rsidR="00851082" w:rsidRPr="00F60681" w:rsidRDefault="00D55728" w:rsidP="00E371F6">
      <w:pPr>
        <w:pStyle w:val="AHPRAbody"/>
        <w:rPr>
          <w:rFonts w:ascii="Arial" w:hAnsi="Arial" w:cs="Arial"/>
          <w:szCs w:val="20"/>
        </w:rPr>
      </w:pPr>
      <w:r w:rsidRPr="00F60681">
        <w:rPr>
          <w:rFonts w:ascii="Arial" w:hAnsi="Arial" w:cs="Arial"/>
          <w:color w:val="C0504D" w:themeColor="accent2"/>
          <w:szCs w:val="20"/>
        </w:rPr>
        <w:t xml:space="preserve"> </w:t>
      </w:r>
      <w:r w:rsidR="00E371F6" w:rsidRPr="00F60681">
        <w:rPr>
          <w:rFonts w:ascii="Arial" w:hAnsi="Arial" w:cs="Arial"/>
          <w:szCs w:val="20"/>
        </w:rPr>
        <w:t xml:space="preserve">Practitioners </w:t>
      </w:r>
      <w:r w:rsidR="00B12C50" w:rsidRPr="00F60681">
        <w:rPr>
          <w:rFonts w:ascii="Arial" w:hAnsi="Arial" w:cs="Arial"/>
          <w:szCs w:val="20"/>
        </w:rPr>
        <w:t xml:space="preserve">may </w:t>
      </w:r>
      <w:r w:rsidR="00E371F6" w:rsidRPr="00F60681">
        <w:rPr>
          <w:rFonts w:ascii="Arial" w:hAnsi="Arial" w:cs="Arial"/>
          <w:szCs w:val="20"/>
        </w:rPr>
        <w:t>hold both general registration as a podiatrist and specialist registration as a podiatric surgeon</w:t>
      </w:r>
      <w:r w:rsidR="00B12C50" w:rsidRPr="00F60681">
        <w:rPr>
          <w:rFonts w:ascii="Arial" w:hAnsi="Arial" w:cs="Arial"/>
          <w:szCs w:val="20"/>
        </w:rPr>
        <w:t>. These practitioners</w:t>
      </w:r>
      <w:r w:rsidR="00E371F6" w:rsidRPr="00F60681">
        <w:rPr>
          <w:rFonts w:ascii="Arial" w:hAnsi="Arial" w:cs="Arial"/>
          <w:szCs w:val="20"/>
        </w:rPr>
        <w:t xml:space="preserve"> will</w:t>
      </w:r>
      <w:r w:rsidR="009244F3" w:rsidRPr="00F60681">
        <w:rPr>
          <w:rFonts w:ascii="Arial" w:hAnsi="Arial" w:cs="Arial"/>
          <w:szCs w:val="20"/>
        </w:rPr>
        <w:t xml:space="preserve"> be </w:t>
      </w:r>
      <w:r w:rsidR="00A622AE" w:rsidRPr="00F60681">
        <w:rPr>
          <w:rFonts w:ascii="Arial" w:hAnsi="Arial" w:cs="Arial"/>
          <w:szCs w:val="20"/>
        </w:rPr>
        <w:t xml:space="preserve">included on the </w:t>
      </w:r>
      <w:r w:rsidR="00851082" w:rsidRPr="00F60681">
        <w:rPr>
          <w:rFonts w:ascii="Arial" w:hAnsi="Arial" w:cs="Arial"/>
          <w:szCs w:val="20"/>
        </w:rPr>
        <w:t>Register of Podiatrists and the Board’s Specialist</w:t>
      </w:r>
      <w:r w:rsidR="007566E7" w:rsidRPr="00F60681">
        <w:rPr>
          <w:rFonts w:ascii="Arial" w:hAnsi="Arial" w:cs="Arial"/>
          <w:szCs w:val="20"/>
        </w:rPr>
        <w:t>s</w:t>
      </w:r>
      <w:r w:rsidR="00851082" w:rsidRPr="00F60681">
        <w:rPr>
          <w:rFonts w:ascii="Arial" w:hAnsi="Arial" w:cs="Arial"/>
          <w:szCs w:val="20"/>
        </w:rPr>
        <w:t xml:space="preserve"> Register.</w:t>
      </w:r>
    </w:p>
    <w:p w:rsidR="00091ABD" w:rsidRPr="00F60681" w:rsidRDefault="00E371F6" w:rsidP="00E371F6">
      <w:pPr>
        <w:pStyle w:val="AHPRAbody"/>
        <w:rPr>
          <w:rFonts w:ascii="Arial" w:hAnsi="Arial" w:cs="Arial"/>
          <w:szCs w:val="20"/>
        </w:rPr>
      </w:pPr>
      <w:r w:rsidRPr="00F60681">
        <w:rPr>
          <w:rFonts w:ascii="Arial" w:hAnsi="Arial" w:cs="Arial"/>
          <w:szCs w:val="20"/>
        </w:rPr>
        <w:t xml:space="preserve">Practitioners </w:t>
      </w:r>
      <w:r w:rsidR="00B12C50" w:rsidRPr="00F60681">
        <w:rPr>
          <w:rFonts w:ascii="Arial" w:hAnsi="Arial" w:cs="Arial"/>
          <w:szCs w:val="20"/>
        </w:rPr>
        <w:t xml:space="preserve">may </w:t>
      </w:r>
      <w:r w:rsidRPr="00F60681">
        <w:rPr>
          <w:rFonts w:ascii="Arial" w:hAnsi="Arial" w:cs="Arial"/>
          <w:szCs w:val="20"/>
        </w:rPr>
        <w:t xml:space="preserve">hold specialist registration as a podiatric surgeon </w:t>
      </w:r>
      <w:r w:rsidR="00B12C50" w:rsidRPr="00F60681">
        <w:rPr>
          <w:rFonts w:ascii="Arial" w:hAnsi="Arial" w:cs="Arial"/>
          <w:szCs w:val="20"/>
        </w:rPr>
        <w:t>without also holding</w:t>
      </w:r>
      <w:r w:rsidRPr="00F60681">
        <w:rPr>
          <w:rFonts w:ascii="Arial" w:hAnsi="Arial" w:cs="Arial"/>
          <w:szCs w:val="20"/>
        </w:rPr>
        <w:t xml:space="preserve"> general registration as a podiatrist</w:t>
      </w:r>
      <w:r w:rsidR="00B12C50" w:rsidRPr="00F60681">
        <w:rPr>
          <w:rFonts w:ascii="Arial" w:hAnsi="Arial" w:cs="Arial"/>
          <w:szCs w:val="20"/>
        </w:rPr>
        <w:t>.</w:t>
      </w:r>
      <w:r w:rsidRPr="00F60681">
        <w:rPr>
          <w:rFonts w:ascii="Arial" w:hAnsi="Arial" w:cs="Arial"/>
          <w:szCs w:val="20"/>
        </w:rPr>
        <w:t xml:space="preserve"> </w:t>
      </w:r>
      <w:r w:rsidR="00B12C50" w:rsidRPr="00F60681">
        <w:rPr>
          <w:rFonts w:ascii="Arial" w:hAnsi="Arial" w:cs="Arial"/>
          <w:szCs w:val="20"/>
        </w:rPr>
        <w:t xml:space="preserve">These practitioners </w:t>
      </w:r>
      <w:r w:rsidRPr="00F60681">
        <w:rPr>
          <w:rFonts w:ascii="Arial" w:hAnsi="Arial" w:cs="Arial"/>
          <w:szCs w:val="20"/>
        </w:rPr>
        <w:t xml:space="preserve">will </w:t>
      </w:r>
      <w:r w:rsidR="009244F3" w:rsidRPr="00F60681">
        <w:rPr>
          <w:rFonts w:ascii="Arial" w:hAnsi="Arial" w:cs="Arial"/>
          <w:szCs w:val="20"/>
        </w:rPr>
        <w:t xml:space="preserve">be </w:t>
      </w:r>
      <w:r w:rsidR="00A622AE" w:rsidRPr="00F60681">
        <w:rPr>
          <w:rFonts w:ascii="Arial" w:hAnsi="Arial" w:cs="Arial"/>
          <w:szCs w:val="20"/>
        </w:rPr>
        <w:t xml:space="preserve">included </w:t>
      </w:r>
      <w:r w:rsidR="009244F3" w:rsidRPr="00F60681">
        <w:rPr>
          <w:rFonts w:ascii="Arial" w:hAnsi="Arial" w:cs="Arial"/>
          <w:szCs w:val="20"/>
        </w:rPr>
        <w:t xml:space="preserve">on the </w:t>
      </w:r>
      <w:r w:rsidR="00A622AE" w:rsidRPr="00F60681">
        <w:rPr>
          <w:rFonts w:ascii="Arial" w:hAnsi="Arial" w:cs="Arial"/>
          <w:szCs w:val="20"/>
        </w:rPr>
        <w:t xml:space="preserve">Board’s </w:t>
      </w:r>
      <w:r w:rsidR="00851082" w:rsidRPr="00F60681">
        <w:rPr>
          <w:rFonts w:ascii="Arial" w:hAnsi="Arial" w:cs="Arial"/>
          <w:szCs w:val="20"/>
        </w:rPr>
        <w:t>Specialist</w:t>
      </w:r>
      <w:r w:rsidR="007566E7" w:rsidRPr="00F60681">
        <w:rPr>
          <w:rFonts w:ascii="Arial" w:hAnsi="Arial" w:cs="Arial"/>
          <w:szCs w:val="20"/>
        </w:rPr>
        <w:t>s</w:t>
      </w:r>
      <w:r w:rsidR="00851082" w:rsidRPr="00F60681">
        <w:rPr>
          <w:rFonts w:ascii="Arial" w:hAnsi="Arial" w:cs="Arial"/>
          <w:szCs w:val="20"/>
        </w:rPr>
        <w:t xml:space="preserve"> Register </w:t>
      </w:r>
      <w:r w:rsidR="00DF117E" w:rsidRPr="00F60681">
        <w:rPr>
          <w:rFonts w:ascii="Arial" w:hAnsi="Arial" w:cs="Arial"/>
          <w:szCs w:val="20"/>
        </w:rPr>
        <w:t>only</w:t>
      </w:r>
      <w:r w:rsidR="009244F3" w:rsidRPr="00F60681">
        <w:rPr>
          <w:rFonts w:ascii="Arial" w:hAnsi="Arial" w:cs="Arial"/>
          <w:szCs w:val="20"/>
        </w:rPr>
        <w:t xml:space="preserve"> </w:t>
      </w:r>
      <w:r w:rsidR="00B12C50" w:rsidRPr="00F60681">
        <w:rPr>
          <w:rFonts w:ascii="Arial" w:hAnsi="Arial" w:cs="Arial"/>
          <w:szCs w:val="20"/>
        </w:rPr>
        <w:t>and</w:t>
      </w:r>
      <w:r w:rsidR="00A32FA1" w:rsidRPr="00F60681">
        <w:rPr>
          <w:rFonts w:ascii="Arial" w:hAnsi="Arial" w:cs="Arial"/>
          <w:szCs w:val="20"/>
        </w:rPr>
        <w:t xml:space="preserve"> will</w:t>
      </w:r>
      <w:r w:rsidR="00091ABD" w:rsidRPr="00F60681">
        <w:rPr>
          <w:rFonts w:ascii="Arial" w:hAnsi="Arial" w:cs="Arial"/>
          <w:szCs w:val="20"/>
        </w:rPr>
        <w:t xml:space="preserve"> </w:t>
      </w:r>
      <w:r w:rsidR="00091ABD" w:rsidRPr="00F60681">
        <w:rPr>
          <w:rFonts w:ascii="Arial" w:hAnsi="Arial"/>
          <w:szCs w:val="20"/>
        </w:rPr>
        <w:t>have a restricted scope of practice, limiting the</w:t>
      </w:r>
      <w:r w:rsidR="00091ABD" w:rsidRPr="00F60681">
        <w:rPr>
          <w:rFonts w:ascii="Arial" w:hAnsi="Arial"/>
          <w:b/>
          <w:color w:val="008EC4"/>
          <w:szCs w:val="20"/>
        </w:rPr>
        <w:t xml:space="preserve"> </w:t>
      </w:r>
      <w:r w:rsidR="00091ABD" w:rsidRPr="00F60681">
        <w:rPr>
          <w:rFonts w:ascii="Arial" w:hAnsi="Arial"/>
          <w:szCs w:val="20"/>
        </w:rPr>
        <w:t>practitioner to practice that is relevant to the scope of practice of podiatric surgery.</w:t>
      </w:r>
    </w:p>
    <w:p w:rsidR="008327A8" w:rsidRPr="00F60681" w:rsidRDefault="008327A8" w:rsidP="00DC2549">
      <w:pPr>
        <w:pStyle w:val="AHPRASubhead"/>
        <w:rPr>
          <w:color w:val="007DC3"/>
          <w:szCs w:val="20"/>
        </w:rPr>
      </w:pPr>
      <w:r w:rsidRPr="00F60681">
        <w:rPr>
          <w:color w:val="007DC3"/>
          <w:szCs w:val="20"/>
        </w:rPr>
        <w:t>Scope of application</w:t>
      </w:r>
    </w:p>
    <w:p w:rsidR="00F60681" w:rsidRPr="00F60681" w:rsidRDefault="008327A8" w:rsidP="00F60681">
      <w:pPr>
        <w:pStyle w:val="AHPRAbody"/>
        <w:rPr>
          <w:szCs w:val="20"/>
        </w:rPr>
      </w:pPr>
      <w:r w:rsidRPr="00F60681">
        <w:rPr>
          <w:rFonts w:ascii="Arial" w:hAnsi="Arial" w:cs="Arial"/>
          <w:szCs w:val="20"/>
        </w:rPr>
        <w:t xml:space="preserve">This </w:t>
      </w:r>
      <w:r w:rsidR="00271A7B" w:rsidRPr="00F60681">
        <w:rPr>
          <w:rFonts w:ascii="Arial" w:hAnsi="Arial" w:cs="Arial"/>
          <w:szCs w:val="20"/>
        </w:rPr>
        <w:t>s</w:t>
      </w:r>
      <w:r w:rsidRPr="00F60681">
        <w:rPr>
          <w:rFonts w:ascii="Arial" w:hAnsi="Arial" w:cs="Arial"/>
          <w:szCs w:val="20"/>
        </w:rPr>
        <w:t xml:space="preserve">tandard applies to </w:t>
      </w:r>
      <w:r w:rsidR="00CA7C9A" w:rsidRPr="00F60681">
        <w:rPr>
          <w:rFonts w:ascii="Arial" w:hAnsi="Arial" w:cs="Arial"/>
          <w:bCs/>
          <w:szCs w:val="20"/>
        </w:rPr>
        <w:t xml:space="preserve">all </w:t>
      </w:r>
      <w:r w:rsidR="00346FF7" w:rsidRPr="00F60681">
        <w:rPr>
          <w:rFonts w:ascii="Arial" w:hAnsi="Arial" w:cs="Arial"/>
          <w:bCs/>
          <w:szCs w:val="20"/>
        </w:rPr>
        <w:t>applicants for</w:t>
      </w:r>
      <w:r w:rsidR="00B9742A" w:rsidRPr="00F60681">
        <w:rPr>
          <w:rFonts w:ascii="Arial" w:hAnsi="Arial" w:cs="Arial"/>
          <w:bCs/>
          <w:szCs w:val="20"/>
        </w:rPr>
        <w:t xml:space="preserve"> </w:t>
      </w:r>
      <w:r w:rsidR="003C151A" w:rsidRPr="00F60681">
        <w:rPr>
          <w:rFonts w:ascii="Arial" w:hAnsi="Arial" w:cs="Arial"/>
          <w:bCs/>
          <w:szCs w:val="20"/>
        </w:rPr>
        <w:t xml:space="preserve">specialist </w:t>
      </w:r>
      <w:r w:rsidR="00346FF7" w:rsidRPr="00F60681">
        <w:rPr>
          <w:rFonts w:ascii="Arial" w:hAnsi="Arial" w:cs="Arial"/>
          <w:bCs/>
          <w:szCs w:val="20"/>
        </w:rPr>
        <w:t xml:space="preserve">registration </w:t>
      </w:r>
      <w:r w:rsidR="00111E1A" w:rsidRPr="00F60681">
        <w:rPr>
          <w:rFonts w:ascii="Arial" w:hAnsi="Arial" w:cs="Arial"/>
          <w:bCs/>
          <w:szCs w:val="20"/>
        </w:rPr>
        <w:t xml:space="preserve">as a podiatric surgeon </w:t>
      </w:r>
      <w:r w:rsidR="00346FF7" w:rsidRPr="00F60681">
        <w:rPr>
          <w:rFonts w:ascii="Arial" w:hAnsi="Arial" w:cs="Arial"/>
          <w:bCs/>
          <w:szCs w:val="20"/>
        </w:rPr>
        <w:t>under</w:t>
      </w:r>
      <w:r w:rsidR="00B9742A" w:rsidRPr="00F60681">
        <w:rPr>
          <w:rFonts w:ascii="Arial" w:hAnsi="Arial" w:cs="Arial"/>
          <w:bCs/>
          <w:szCs w:val="20"/>
        </w:rPr>
        <w:t xml:space="preserve"> </w:t>
      </w:r>
      <w:r w:rsidR="00365459" w:rsidRPr="00F60681">
        <w:rPr>
          <w:rFonts w:ascii="Arial" w:hAnsi="Arial" w:cs="Arial"/>
          <w:bCs/>
          <w:szCs w:val="20"/>
        </w:rPr>
        <w:t xml:space="preserve">Part 7, Division </w:t>
      </w:r>
      <w:r w:rsidR="00346FF7" w:rsidRPr="00F60681">
        <w:rPr>
          <w:rFonts w:ascii="Arial" w:hAnsi="Arial" w:cs="Arial"/>
          <w:bCs/>
          <w:szCs w:val="20"/>
        </w:rPr>
        <w:t>2 of</w:t>
      </w:r>
      <w:r w:rsidR="00B9742A" w:rsidRPr="00F60681">
        <w:rPr>
          <w:rFonts w:ascii="Arial" w:hAnsi="Arial" w:cs="Arial"/>
          <w:bCs/>
          <w:szCs w:val="20"/>
        </w:rPr>
        <w:t xml:space="preserve"> the National Law</w:t>
      </w:r>
      <w:r w:rsidR="002B3B9A" w:rsidRPr="00F60681">
        <w:rPr>
          <w:rFonts w:ascii="Arial" w:hAnsi="Arial" w:cs="Arial"/>
          <w:bCs/>
          <w:szCs w:val="20"/>
        </w:rPr>
        <w:t xml:space="preserve"> and to all applicants for renewal of specialist registration under Part 7, Division 9 of the National Law</w:t>
      </w:r>
      <w:r w:rsidR="00365459" w:rsidRPr="00F60681">
        <w:rPr>
          <w:rFonts w:ascii="Arial" w:hAnsi="Arial" w:cs="Arial"/>
          <w:szCs w:val="20"/>
        </w:rPr>
        <w:t>.</w:t>
      </w:r>
    </w:p>
    <w:p w:rsidR="00192BCC" w:rsidRPr="00F60681" w:rsidRDefault="00192BCC" w:rsidP="00DC2549">
      <w:pPr>
        <w:pStyle w:val="AHPRASubhead"/>
        <w:rPr>
          <w:color w:val="007DC3"/>
          <w:szCs w:val="20"/>
        </w:rPr>
      </w:pPr>
      <w:r w:rsidRPr="00F60681">
        <w:rPr>
          <w:color w:val="007DC3"/>
          <w:szCs w:val="20"/>
        </w:rPr>
        <w:t>Background</w:t>
      </w:r>
    </w:p>
    <w:p w:rsidR="003A240F" w:rsidRPr="00F60681" w:rsidRDefault="00192BCC" w:rsidP="003A240F">
      <w:pPr>
        <w:pStyle w:val="AHPRASubhead"/>
        <w:rPr>
          <w:color w:val="auto"/>
          <w:szCs w:val="20"/>
        </w:rPr>
      </w:pPr>
      <w:r w:rsidRPr="00F60681">
        <w:rPr>
          <w:b w:val="0"/>
          <w:color w:val="auto"/>
          <w:szCs w:val="20"/>
        </w:rPr>
        <w:t>Section 5</w:t>
      </w:r>
      <w:r w:rsidR="007721A4" w:rsidRPr="00F60681">
        <w:rPr>
          <w:b w:val="0"/>
          <w:color w:val="auto"/>
          <w:szCs w:val="20"/>
        </w:rPr>
        <w:t>7</w:t>
      </w:r>
      <w:r w:rsidRPr="00F60681">
        <w:rPr>
          <w:b w:val="0"/>
          <w:color w:val="auto"/>
          <w:szCs w:val="20"/>
        </w:rPr>
        <w:t xml:space="preserve"> of the National Law</w:t>
      </w:r>
      <w:r w:rsidR="007721A4" w:rsidRPr="00F60681">
        <w:rPr>
          <w:b w:val="0"/>
          <w:color w:val="auto"/>
          <w:szCs w:val="20"/>
        </w:rPr>
        <w:t xml:space="preserve"> sets out the requirements for eligibility for specialist registration, which includes among other things</w:t>
      </w:r>
      <w:r w:rsidR="00DF117E" w:rsidRPr="00F60681">
        <w:rPr>
          <w:b w:val="0"/>
          <w:color w:val="auto"/>
          <w:szCs w:val="20"/>
        </w:rPr>
        <w:t>,</w:t>
      </w:r>
      <w:r w:rsidR="007721A4" w:rsidRPr="00F60681">
        <w:rPr>
          <w:b w:val="0"/>
          <w:color w:val="auto"/>
          <w:szCs w:val="20"/>
        </w:rPr>
        <w:t xml:space="preserve"> that an individual must be qualified for registration in the specialty and meet any other requirements for registration stated in an approved registration standard for the </w:t>
      </w:r>
      <w:r w:rsidR="007721A4" w:rsidRPr="00F60681">
        <w:rPr>
          <w:b w:val="0"/>
          <w:color w:val="auto"/>
          <w:szCs w:val="20"/>
        </w:rPr>
        <w:lastRenderedPageBreak/>
        <w:t>specialty</w:t>
      </w:r>
      <w:r w:rsidR="007721A4" w:rsidRPr="00F60681">
        <w:rPr>
          <w:color w:val="auto"/>
          <w:szCs w:val="20"/>
        </w:rPr>
        <w:t>.</w:t>
      </w:r>
      <w:r w:rsidR="00C71A3A" w:rsidRPr="00F60681">
        <w:rPr>
          <w:color w:val="auto"/>
          <w:szCs w:val="20"/>
        </w:rPr>
        <w:t xml:space="preserve">  </w:t>
      </w:r>
      <w:r w:rsidR="003A240F" w:rsidRPr="00F60681">
        <w:rPr>
          <w:b w:val="0"/>
          <w:color w:val="auto"/>
          <w:szCs w:val="20"/>
        </w:rPr>
        <w:t>Section 58 of the National Law sets out the qualification requirements for specialist registration.</w:t>
      </w:r>
    </w:p>
    <w:p w:rsidR="00C71A3A" w:rsidRPr="00F60681" w:rsidRDefault="00C71A3A" w:rsidP="00C71A3A">
      <w:pPr>
        <w:pStyle w:val="AHPRASubhead"/>
        <w:rPr>
          <w:b w:val="0"/>
          <w:color w:val="auto"/>
          <w:szCs w:val="20"/>
        </w:rPr>
      </w:pPr>
      <w:r w:rsidRPr="00F60681">
        <w:rPr>
          <w:b w:val="0"/>
          <w:color w:val="auto"/>
          <w:szCs w:val="20"/>
        </w:rPr>
        <w:t>A link to the National Law is available at</w:t>
      </w:r>
      <w:r w:rsidR="007D750D">
        <w:rPr>
          <w:b w:val="0"/>
          <w:color w:val="auto"/>
          <w:szCs w:val="20"/>
        </w:rPr>
        <w:t xml:space="preserve"> </w:t>
      </w:r>
      <w:hyperlink r:id="rId8" w:history="1">
        <w:r w:rsidR="007D750D" w:rsidRPr="00FC01EF">
          <w:rPr>
            <w:rStyle w:val="Hyperlink"/>
            <w:b w:val="0"/>
            <w:szCs w:val="20"/>
          </w:rPr>
          <w:t>www.ahpra.gov.au</w:t>
        </w:r>
      </w:hyperlink>
      <w:r w:rsidR="007D750D">
        <w:rPr>
          <w:b w:val="0"/>
          <w:color w:val="auto"/>
          <w:szCs w:val="20"/>
        </w:rPr>
        <w:t xml:space="preserve"> </w:t>
      </w:r>
      <w:r w:rsidRPr="00F60681">
        <w:rPr>
          <w:b w:val="0"/>
          <w:color w:val="auto"/>
          <w:szCs w:val="20"/>
        </w:rPr>
        <w:t xml:space="preserve">under </w:t>
      </w:r>
      <w:r w:rsidR="007D750D" w:rsidRPr="007D750D">
        <w:rPr>
          <w:b w:val="0"/>
          <w:i/>
          <w:color w:val="auto"/>
          <w:szCs w:val="20"/>
        </w:rPr>
        <w:t>About</w:t>
      </w:r>
      <w:r w:rsidR="007D750D">
        <w:rPr>
          <w:b w:val="0"/>
          <w:color w:val="auto"/>
          <w:szCs w:val="20"/>
        </w:rPr>
        <w:t>.</w:t>
      </w:r>
    </w:p>
    <w:p w:rsidR="00C71A3A" w:rsidRPr="00F60681" w:rsidRDefault="00C71A3A" w:rsidP="00DC2549">
      <w:pPr>
        <w:pStyle w:val="AHPRASubhead"/>
        <w:rPr>
          <w:b w:val="0"/>
          <w:color w:val="auto"/>
          <w:szCs w:val="20"/>
        </w:rPr>
      </w:pPr>
      <w:r w:rsidRPr="00F60681">
        <w:rPr>
          <w:b w:val="0"/>
          <w:color w:val="auto"/>
          <w:szCs w:val="20"/>
        </w:rPr>
        <w:t>A</w:t>
      </w:r>
      <w:r w:rsidR="004A0654" w:rsidRPr="00F60681">
        <w:rPr>
          <w:b w:val="0"/>
          <w:color w:val="auto"/>
          <w:szCs w:val="20"/>
        </w:rPr>
        <w:t>n approved qualification for the specialty is a qualification obtained by completing an approved program of study for the specialty.  The</w:t>
      </w:r>
      <w:r w:rsidRPr="00F60681">
        <w:rPr>
          <w:b w:val="0"/>
          <w:color w:val="auto"/>
          <w:szCs w:val="20"/>
        </w:rPr>
        <w:t xml:space="preserve"> Board’s approved </w:t>
      </w:r>
      <w:r w:rsidR="00C55879" w:rsidRPr="00F60681">
        <w:rPr>
          <w:b w:val="0"/>
          <w:color w:val="auto"/>
          <w:szCs w:val="20"/>
        </w:rPr>
        <w:t>programs of study</w:t>
      </w:r>
      <w:r w:rsidR="004A4DB2" w:rsidRPr="00F60681">
        <w:rPr>
          <w:b w:val="0"/>
          <w:color w:val="auto"/>
          <w:szCs w:val="20"/>
        </w:rPr>
        <w:t xml:space="preserve"> for the </w:t>
      </w:r>
      <w:r w:rsidR="00092321" w:rsidRPr="00F60681">
        <w:rPr>
          <w:b w:val="0"/>
          <w:color w:val="auto"/>
          <w:szCs w:val="20"/>
        </w:rPr>
        <w:t>podiatry specialty</w:t>
      </w:r>
      <w:r w:rsidRPr="00F60681">
        <w:rPr>
          <w:b w:val="0"/>
          <w:color w:val="auto"/>
          <w:szCs w:val="20"/>
        </w:rPr>
        <w:t xml:space="preserve"> of podiatric surgery </w:t>
      </w:r>
      <w:r w:rsidR="001F1052" w:rsidRPr="00F60681">
        <w:rPr>
          <w:b w:val="0"/>
          <w:color w:val="auto"/>
          <w:szCs w:val="20"/>
        </w:rPr>
        <w:t xml:space="preserve">are </w:t>
      </w:r>
      <w:r w:rsidRPr="00F60681">
        <w:rPr>
          <w:b w:val="0"/>
          <w:color w:val="auto"/>
          <w:szCs w:val="20"/>
        </w:rPr>
        <w:t>published on the Board’s website</w:t>
      </w:r>
      <w:r w:rsidR="004F44B8" w:rsidRPr="00F60681">
        <w:rPr>
          <w:b w:val="0"/>
          <w:color w:val="auto"/>
          <w:szCs w:val="20"/>
        </w:rPr>
        <w:t>.</w:t>
      </w:r>
    </w:p>
    <w:p w:rsidR="00C71A3A" w:rsidRPr="00F60681" w:rsidRDefault="00C71A3A" w:rsidP="00C71A3A">
      <w:pPr>
        <w:pStyle w:val="AHPRASubhead"/>
        <w:rPr>
          <w:b w:val="0"/>
          <w:i/>
          <w:color w:val="auto"/>
          <w:szCs w:val="20"/>
        </w:rPr>
      </w:pPr>
      <w:r w:rsidRPr="00F60681">
        <w:rPr>
          <w:b w:val="0"/>
          <w:color w:val="auto"/>
          <w:szCs w:val="20"/>
        </w:rPr>
        <w:t xml:space="preserve">Information on how overseas trained podiatric surgeons can have their </w:t>
      </w:r>
      <w:r w:rsidR="00C55879" w:rsidRPr="00F60681">
        <w:rPr>
          <w:b w:val="0"/>
          <w:color w:val="auto"/>
          <w:szCs w:val="20"/>
        </w:rPr>
        <w:t>knowledge</w:t>
      </w:r>
      <w:r w:rsidRPr="00F60681">
        <w:rPr>
          <w:b w:val="0"/>
          <w:color w:val="auto"/>
          <w:szCs w:val="20"/>
        </w:rPr>
        <w:t xml:space="preserve"> </w:t>
      </w:r>
      <w:r w:rsidR="00C55879" w:rsidRPr="00F60681">
        <w:rPr>
          <w:b w:val="0"/>
          <w:color w:val="auto"/>
          <w:szCs w:val="20"/>
        </w:rPr>
        <w:t xml:space="preserve">and clinical skills </w:t>
      </w:r>
      <w:r w:rsidRPr="00F60681">
        <w:rPr>
          <w:b w:val="0"/>
          <w:color w:val="auto"/>
          <w:szCs w:val="20"/>
        </w:rPr>
        <w:t xml:space="preserve">assessed to ascertain </w:t>
      </w:r>
      <w:r w:rsidR="00C55879" w:rsidRPr="00F60681">
        <w:rPr>
          <w:b w:val="0"/>
          <w:color w:val="auto"/>
          <w:szCs w:val="20"/>
        </w:rPr>
        <w:t>whether they are qualified to hold specialist registration as a podiatric surgeon in Australia</w:t>
      </w:r>
      <w:r w:rsidRPr="00F60681">
        <w:rPr>
          <w:b w:val="0"/>
          <w:color w:val="auto"/>
          <w:szCs w:val="20"/>
        </w:rPr>
        <w:t xml:space="preserve"> is available on the </w:t>
      </w:r>
      <w:r w:rsidR="00092321" w:rsidRPr="00F60681">
        <w:rPr>
          <w:b w:val="0"/>
          <w:color w:val="auto"/>
          <w:szCs w:val="20"/>
        </w:rPr>
        <w:t>Board’s</w:t>
      </w:r>
      <w:r w:rsidRPr="00F60681">
        <w:rPr>
          <w:b w:val="0"/>
          <w:color w:val="auto"/>
          <w:szCs w:val="20"/>
        </w:rPr>
        <w:t xml:space="preserve"> website under </w:t>
      </w:r>
      <w:r w:rsidRPr="00F60681">
        <w:rPr>
          <w:b w:val="0"/>
          <w:i/>
          <w:color w:val="auto"/>
          <w:szCs w:val="20"/>
        </w:rPr>
        <w:t xml:space="preserve">Specialist </w:t>
      </w:r>
      <w:r w:rsidR="007566E7" w:rsidRPr="00F60681">
        <w:rPr>
          <w:b w:val="0"/>
          <w:i/>
          <w:color w:val="auto"/>
          <w:szCs w:val="20"/>
        </w:rPr>
        <w:t>R</w:t>
      </w:r>
      <w:r w:rsidRPr="00F60681">
        <w:rPr>
          <w:b w:val="0"/>
          <w:i/>
          <w:color w:val="auto"/>
          <w:szCs w:val="20"/>
        </w:rPr>
        <w:t>egistration</w:t>
      </w:r>
      <w:r w:rsidR="00092321" w:rsidRPr="00F60681">
        <w:rPr>
          <w:b w:val="0"/>
          <w:i/>
          <w:color w:val="auto"/>
          <w:szCs w:val="20"/>
        </w:rPr>
        <w:t>.</w:t>
      </w:r>
    </w:p>
    <w:p w:rsidR="008327A8" w:rsidRPr="00F60681" w:rsidRDefault="008327A8" w:rsidP="00DC2549">
      <w:pPr>
        <w:pStyle w:val="AHPRASubhead"/>
        <w:rPr>
          <w:rFonts w:cs="Arial"/>
          <w:color w:val="007DC3"/>
          <w:szCs w:val="20"/>
        </w:rPr>
      </w:pPr>
      <w:r w:rsidRPr="00F60681">
        <w:rPr>
          <w:color w:val="007DC3"/>
          <w:szCs w:val="20"/>
        </w:rPr>
        <w:t xml:space="preserve">Requirements </w:t>
      </w:r>
      <w:r w:rsidR="004634DD" w:rsidRPr="00F60681">
        <w:rPr>
          <w:color w:val="007DC3"/>
          <w:szCs w:val="20"/>
        </w:rPr>
        <w:t>for initial registratio</w:t>
      </w:r>
      <w:r w:rsidR="00BA0670" w:rsidRPr="00F60681">
        <w:rPr>
          <w:color w:val="007DC3"/>
          <w:szCs w:val="20"/>
        </w:rPr>
        <w:t>n</w:t>
      </w:r>
    </w:p>
    <w:p w:rsidR="009916CF" w:rsidRPr="00F60681" w:rsidRDefault="009916CF" w:rsidP="00DC2549">
      <w:pPr>
        <w:pStyle w:val="AHPRAbody"/>
        <w:rPr>
          <w:rFonts w:ascii="Arial" w:hAnsi="Arial" w:cs="Arial"/>
          <w:szCs w:val="20"/>
        </w:rPr>
      </w:pPr>
      <w:r w:rsidRPr="00F60681">
        <w:rPr>
          <w:rFonts w:ascii="Arial" w:hAnsi="Arial" w:cs="Arial"/>
          <w:szCs w:val="20"/>
        </w:rPr>
        <w:t xml:space="preserve">All applicants for specialist registration </w:t>
      </w:r>
      <w:r w:rsidR="00111E1A" w:rsidRPr="00F60681">
        <w:rPr>
          <w:rFonts w:ascii="Arial" w:hAnsi="Arial" w:cs="Arial"/>
          <w:szCs w:val="20"/>
        </w:rPr>
        <w:t xml:space="preserve">as a podiatric surgeon </w:t>
      </w:r>
      <w:r w:rsidRPr="00F60681">
        <w:rPr>
          <w:rFonts w:ascii="Arial" w:hAnsi="Arial" w:cs="Arial"/>
          <w:szCs w:val="20"/>
        </w:rPr>
        <w:t>are required</w:t>
      </w:r>
      <w:r w:rsidR="006C225E" w:rsidRPr="00F60681">
        <w:rPr>
          <w:rFonts w:ascii="Arial" w:hAnsi="Arial" w:cs="Arial"/>
          <w:szCs w:val="20"/>
        </w:rPr>
        <w:t xml:space="preserve"> to</w:t>
      </w:r>
      <w:r w:rsidRPr="00F60681">
        <w:rPr>
          <w:rFonts w:ascii="Arial" w:hAnsi="Arial" w:cs="Arial"/>
          <w:szCs w:val="20"/>
        </w:rPr>
        <w:t>:</w:t>
      </w:r>
    </w:p>
    <w:p w:rsidR="009E2D27" w:rsidRPr="00F60681" w:rsidRDefault="00D802E0" w:rsidP="009E2D27">
      <w:pPr>
        <w:pStyle w:val="AHPRAbody"/>
        <w:ind w:left="360" w:hanging="360"/>
        <w:rPr>
          <w:rFonts w:ascii="Arial" w:hAnsi="Arial" w:cs="Arial"/>
          <w:szCs w:val="20"/>
        </w:rPr>
      </w:pPr>
      <w:r w:rsidRPr="00F60681">
        <w:rPr>
          <w:rFonts w:ascii="Arial" w:hAnsi="Arial" w:cs="Arial"/>
          <w:szCs w:val="20"/>
        </w:rPr>
        <w:t>1.</w:t>
      </w:r>
      <w:r w:rsidRPr="00F60681">
        <w:rPr>
          <w:rFonts w:ascii="Arial" w:hAnsi="Arial" w:cs="Arial"/>
          <w:szCs w:val="20"/>
        </w:rPr>
        <w:tab/>
      </w:r>
      <w:r w:rsidR="006C225E" w:rsidRPr="00F60681">
        <w:rPr>
          <w:rFonts w:ascii="Arial" w:hAnsi="Arial" w:cs="Arial"/>
          <w:szCs w:val="20"/>
        </w:rPr>
        <w:t>M</w:t>
      </w:r>
      <w:r w:rsidRPr="00F60681">
        <w:rPr>
          <w:rFonts w:ascii="Arial" w:hAnsi="Arial" w:cs="Arial"/>
          <w:szCs w:val="20"/>
        </w:rPr>
        <w:t xml:space="preserve">eet the eligibility requirements for specialist registration as </w:t>
      </w:r>
      <w:r w:rsidR="00D760FA" w:rsidRPr="00F60681">
        <w:rPr>
          <w:rFonts w:ascii="Arial" w:hAnsi="Arial" w:cs="Arial"/>
          <w:szCs w:val="20"/>
        </w:rPr>
        <w:t>defined</w:t>
      </w:r>
      <w:r w:rsidRPr="00F60681">
        <w:rPr>
          <w:rFonts w:ascii="Arial" w:hAnsi="Arial" w:cs="Arial"/>
          <w:szCs w:val="20"/>
        </w:rPr>
        <w:t xml:space="preserve"> in </w:t>
      </w:r>
      <w:r w:rsidR="00CB047B" w:rsidRPr="00F60681">
        <w:rPr>
          <w:rFonts w:ascii="Arial" w:hAnsi="Arial" w:cs="Arial"/>
          <w:szCs w:val="20"/>
        </w:rPr>
        <w:t>section 57</w:t>
      </w:r>
      <w:r w:rsidRPr="00F60681">
        <w:rPr>
          <w:rFonts w:ascii="Arial" w:hAnsi="Arial" w:cs="Arial"/>
          <w:szCs w:val="20"/>
        </w:rPr>
        <w:t xml:space="preserve"> of the National Law</w:t>
      </w:r>
      <w:r w:rsidR="00DA4150" w:rsidRPr="00F60681">
        <w:rPr>
          <w:rFonts w:ascii="Arial" w:hAnsi="Arial" w:cs="Arial"/>
          <w:szCs w:val="20"/>
        </w:rPr>
        <w:t>.</w:t>
      </w:r>
      <w:r w:rsidR="009E2D27" w:rsidRPr="00F60681">
        <w:rPr>
          <w:rFonts w:ascii="Arial" w:hAnsi="Arial" w:cs="Arial"/>
          <w:szCs w:val="20"/>
        </w:rPr>
        <w:t xml:space="preserve"> </w:t>
      </w:r>
    </w:p>
    <w:p w:rsidR="000C2ED5" w:rsidRPr="00F60681" w:rsidRDefault="009E2D27" w:rsidP="009E2D27">
      <w:pPr>
        <w:pStyle w:val="AHPRAbody"/>
        <w:ind w:left="360" w:hanging="360"/>
        <w:rPr>
          <w:rFonts w:ascii="Arial" w:hAnsi="Arial" w:cs="Arial"/>
          <w:szCs w:val="20"/>
        </w:rPr>
      </w:pPr>
      <w:r w:rsidRPr="00F60681">
        <w:rPr>
          <w:rFonts w:ascii="Arial" w:hAnsi="Arial" w:cs="Arial"/>
          <w:szCs w:val="20"/>
        </w:rPr>
        <w:t>2.</w:t>
      </w:r>
      <w:r w:rsidRPr="00F60681">
        <w:rPr>
          <w:rFonts w:ascii="Arial" w:hAnsi="Arial" w:cs="Arial"/>
          <w:szCs w:val="20"/>
        </w:rPr>
        <w:tab/>
      </w:r>
      <w:r w:rsidR="001B0079" w:rsidRPr="00F60681">
        <w:rPr>
          <w:rFonts w:ascii="Arial" w:hAnsi="Arial" w:cs="Arial"/>
          <w:szCs w:val="20"/>
        </w:rPr>
        <w:t xml:space="preserve">Provide evidence of </w:t>
      </w:r>
      <w:r w:rsidR="00365ADD" w:rsidRPr="00F60681">
        <w:rPr>
          <w:rFonts w:ascii="Arial" w:hAnsi="Arial" w:cs="Arial"/>
          <w:szCs w:val="20"/>
        </w:rPr>
        <w:t xml:space="preserve">having completed </w:t>
      </w:r>
      <w:r w:rsidR="009916CF" w:rsidRPr="00F60681">
        <w:rPr>
          <w:rFonts w:ascii="Arial" w:hAnsi="Arial" w:cs="Arial"/>
          <w:szCs w:val="20"/>
        </w:rPr>
        <w:t xml:space="preserve">a </w:t>
      </w:r>
      <w:r w:rsidR="00175388" w:rsidRPr="00F60681">
        <w:rPr>
          <w:rFonts w:ascii="Arial" w:hAnsi="Arial" w:cs="Arial"/>
          <w:szCs w:val="20"/>
        </w:rPr>
        <w:t xml:space="preserve">minimum </w:t>
      </w:r>
      <w:r w:rsidR="00D802E0" w:rsidRPr="00F60681">
        <w:rPr>
          <w:rFonts w:ascii="Arial" w:hAnsi="Arial" w:cs="Arial"/>
          <w:szCs w:val="20"/>
        </w:rPr>
        <w:t>of</w:t>
      </w:r>
      <w:r w:rsidR="00365ADD" w:rsidRPr="00F60681">
        <w:rPr>
          <w:rFonts w:ascii="Arial" w:hAnsi="Arial" w:cs="Arial"/>
          <w:color w:val="000080"/>
          <w:szCs w:val="20"/>
        </w:rPr>
        <w:t xml:space="preserve"> </w:t>
      </w:r>
      <w:r w:rsidR="00D802E0" w:rsidRPr="00F60681">
        <w:rPr>
          <w:rFonts w:ascii="Arial" w:hAnsi="Arial" w:cs="Arial"/>
          <w:szCs w:val="20"/>
        </w:rPr>
        <w:t>two years full</w:t>
      </w:r>
      <w:r w:rsidR="007D750D">
        <w:rPr>
          <w:rFonts w:ascii="Arial" w:hAnsi="Arial" w:cs="Arial"/>
          <w:szCs w:val="20"/>
        </w:rPr>
        <w:t>-</w:t>
      </w:r>
      <w:r w:rsidR="00D802E0" w:rsidRPr="00F60681">
        <w:rPr>
          <w:rFonts w:ascii="Arial" w:hAnsi="Arial" w:cs="Arial"/>
          <w:szCs w:val="20"/>
        </w:rPr>
        <w:t xml:space="preserve">time </w:t>
      </w:r>
      <w:r w:rsidR="00DD7926" w:rsidRPr="00F60681">
        <w:rPr>
          <w:rFonts w:ascii="Arial" w:hAnsi="Arial" w:cs="Arial"/>
          <w:szCs w:val="20"/>
        </w:rPr>
        <w:t xml:space="preserve">(or equivalent) </w:t>
      </w:r>
      <w:r w:rsidR="00365ADD" w:rsidRPr="00F60681">
        <w:rPr>
          <w:rFonts w:ascii="Arial" w:hAnsi="Arial" w:cs="Arial"/>
          <w:szCs w:val="20"/>
        </w:rPr>
        <w:t>general podiatry practice in</w:t>
      </w:r>
      <w:r w:rsidR="00DD7926" w:rsidRPr="00F60681">
        <w:rPr>
          <w:rFonts w:ascii="Arial" w:hAnsi="Arial" w:cs="Arial"/>
          <w:szCs w:val="20"/>
        </w:rPr>
        <w:t xml:space="preserve"> </w:t>
      </w:r>
      <w:r w:rsidR="00D802E0" w:rsidRPr="00F60681">
        <w:rPr>
          <w:rFonts w:ascii="Arial" w:hAnsi="Arial" w:cs="Arial"/>
          <w:szCs w:val="20"/>
        </w:rPr>
        <w:t>a clinical setting</w:t>
      </w:r>
      <w:r w:rsidRPr="00F60681">
        <w:rPr>
          <w:rFonts w:ascii="Arial" w:hAnsi="Arial" w:cs="Arial"/>
          <w:szCs w:val="20"/>
        </w:rPr>
        <w:t>.</w:t>
      </w:r>
    </w:p>
    <w:p w:rsidR="000C2ED5" w:rsidRPr="00F60681" w:rsidRDefault="00C71A3A" w:rsidP="009E2D27">
      <w:pPr>
        <w:pStyle w:val="AHPRAbody"/>
        <w:tabs>
          <w:tab w:val="left" w:pos="5529"/>
        </w:tabs>
        <w:ind w:left="426"/>
        <w:rPr>
          <w:rFonts w:ascii="Arial" w:hAnsi="Arial" w:cs="Arial"/>
          <w:szCs w:val="20"/>
        </w:rPr>
      </w:pPr>
      <w:r w:rsidRPr="00F60681">
        <w:rPr>
          <w:rFonts w:ascii="Arial" w:hAnsi="Arial" w:cs="Arial"/>
          <w:szCs w:val="20"/>
        </w:rPr>
        <w:t>For the purpose of this registration standard</w:t>
      </w:r>
      <w:r w:rsidR="000C2ED5" w:rsidRPr="00F60681">
        <w:rPr>
          <w:rFonts w:ascii="Arial" w:hAnsi="Arial" w:cs="Arial"/>
          <w:szCs w:val="20"/>
        </w:rPr>
        <w:t xml:space="preserve"> two years full</w:t>
      </w:r>
      <w:r w:rsidR="007D750D">
        <w:rPr>
          <w:rFonts w:ascii="Arial" w:hAnsi="Arial" w:cs="Arial"/>
          <w:szCs w:val="20"/>
        </w:rPr>
        <w:t>-</w:t>
      </w:r>
      <w:r w:rsidR="000C2ED5" w:rsidRPr="00F60681">
        <w:rPr>
          <w:rFonts w:ascii="Arial" w:hAnsi="Arial" w:cs="Arial"/>
          <w:szCs w:val="20"/>
        </w:rPr>
        <w:t xml:space="preserve">time (or equivalent) general </w:t>
      </w:r>
      <w:r w:rsidR="00092321" w:rsidRPr="00F60681">
        <w:rPr>
          <w:rFonts w:ascii="Arial" w:hAnsi="Arial" w:cs="Arial"/>
          <w:szCs w:val="20"/>
        </w:rPr>
        <w:t>podiatry practice</w:t>
      </w:r>
      <w:r w:rsidR="000C2ED5" w:rsidRPr="00F60681">
        <w:rPr>
          <w:rFonts w:ascii="Arial" w:hAnsi="Arial" w:cs="Arial"/>
          <w:szCs w:val="20"/>
        </w:rPr>
        <w:t xml:space="preserve"> is defined as a minimum of </w:t>
      </w:r>
      <w:r w:rsidR="009E2D27" w:rsidRPr="00F60681">
        <w:rPr>
          <w:rFonts w:ascii="Arial" w:hAnsi="Arial" w:cs="Arial"/>
          <w:szCs w:val="20"/>
        </w:rPr>
        <w:t xml:space="preserve">35 </w:t>
      </w:r>
      <w:r w:rsidR="000C2ED5" w:rsidRPr="00F60681">
        <w:rPr>
          <w:rFonts w:ascii="Arial" w:hAnsi="Arial" w:cs="Arial"/>
          <w:szCs w:val="20"/>
        </w:rPr>
        <w:t>hours per week</w:t>
      </w:r>
      <w:r w:rsidR="00092321" w:rsidRPr="00F60681">
        <w:rPr>
          <w:rFonts w:ascii="Arial" w:hAnsi="Arial" w:cs="Arial"/>
          <w:szCs w:val="20"/>
        </w:rPr>
        <w:t>;</w:t>
      </w:r>
      <w:r w:rsidR="000C2ED5" w:rsidRPr="00F60681">
        <w:rPr>
          <w:rFonts w:ascii="Arial" w:hAnsi="Arial" w:cs="Arial"/>
          <w:szCs w:val="20"/>
        </w:rPr>
        <w:t xml:space="preserve"> and practice in a clinical setting </w:t>
      </w:r>
      <w:r w:rsidR="009E2D27" w:rsidRPr="00F60681">
        <w:rPr>
          <w:rFonts w:ascii="Arial" w:hAnsi="Arial" w:cs="Arial"/>
          <w:szCs w:val="20"/>
        </w:rPr>
        <w:t>means that at least 80</w:t>
      </w:r>
      <w:r w:rsidR="007D750D">
        <w:rPr>
          <w:rFonts w:ascii="Arial" w:hAnsi="Arial" w:cs="Arial"/>
          <w:szCs w:val="20"/>
        </w:rPr>
        <w:t xml:space="preserve"> per cent</w:t>
      </w:r>
      <w:r w:rsidR="009E2D27" w:rsidRPr="00F60681">
        <w:rPr>
          <w:rFonts w:ascii="Arial" w:hAnsi="Arial" w:cs="Arial"/>
          <w:szCs w:val="20"/>
        </w:rPr>
        <w:t xml:space="preserve"> of work as a registered podiatrist involves direct clinical care and management of podiatric pathology</w:t>
      </w:r>
      <w:r w:rsidR="009E2D27" w:rsidRPr="00F60681">
        <w:rPr>
          <w:rFonts w:ascii="Arial" w:hAnsi="Arial" w:cs="Arial"/>
          <w:color w:val="FF0000"/>
          <w:szCs w:val="20"/>
        </w:rPr>
        <w:t xml:space="preserve">.  </w:t>
      </w:r>
    </w:p>
    <w:p w:rsidR="009916CF" w:rsidRPr="00F60681" w:rsidRDefault="009916CF" w:rsidP="00C71A3A">
      <w:pPr>
        <w:pStyle w:val="AHPRAbody"/>
        <w:tabs>
          <w:tab w:val="left" w:pos="5529"/>
        </w:tabs>
        <w:ind w:left="426"/>
        <w:rPr>
          <w:rFonts w:ascii="Arial" w:hAnsi="Arial" w:cs="Arial"/>
          <w:szCs w:val="20"/>
        </w:rPr>
      </w:pPr>
      <w:r w:rsidRPr="00F60681">
        <w:rPr>
          <w:rFonts w:ascii="Arial" w:hAnsi="Arial" w:cs="Arial"/>
          <w:szCs w:val="20"/>
        </w:rPr>
        <w:t>This general practice requirement may be achieved by experience outside Australia, subject to assessment and approval by the Board</w:t>
      </w:r>
      <w:r w:rsidR="00DA4150" w:rsidRPr="00F60681">
        <w:rPr>
          <w:rFonts w:ascii="Arial" w:hAnsi="Arial" w:cs="Arial"/>
          <w:szCs w:val="20"/>
        </w:rPr>
        <w:t>.</w:t>
      </w:r>
    </w:p>
    <w:p w:rsidR="000D109F" w:rsidRPr="00F60681" w:rsidRDefault="006C225E" w:rsidP="009E2D27">
      <w:pPr>
        <w:pStyle w:val="AHPRAbody"/>
        <w:numPr>
          <w:ilvl w:val="0"/>
          <w:numId w:val="19"/>
        </w:numPr>
        <w:ind w:left="426" w:hanging="426"/>
        <w:jc w:val="both"/>
        <w:rPr>
          <w:rFonts w:ascii="Arial" w:hAnsi="Arial" w:cs="Arial"/>
          <w:szCs w:val="20"/>
        </w:rPr>
      </w:pPr>
      <w:r w:rsidRPr="00F60681">
        <w:rPr>
          <w:rFonts w:ascii="Arial" w:hAnsi="Arial" w:cs="Arial"/>
          <w:szCs w:val="20"/>
        </w:rPr>
        <w:t>M</w:t>
      </w:r>
      <w:r w:rsidR="00DA4150" w:rsidRPr="00F60681">
        <w:rPr>
          <w:rFonts w:ascii="Arial" w:hAnsi="Arial" w:cs="Arial"/>
          <w:szCs w:val="20"/>
        </w:rPr>
        <w:t xml:space="preserve">eet the requirements </w:t>
      </w:r>
      <w:r w:rsidR="004B566C" w:rsidRPr="00F60681">
        <w:rPr>
          <w:rFonts w:ascii="Arial" w:hAnsi="Arial" w:cs="Arial"/>
          <w:szCs w:val="20"/>
        </w:rPr>
        <w:t xml:space="preserve">for general registration </w:t>
      </w:r>
      <w:r w:rsidR="00DA4150" w:rsidRPr="00F60681">
        <w:rPr>
          <w:rFonts w:ascii="Arial" w:hAnsi="Arial" w:cs="Arial"/>
          <w:szCs w:val="20"/>
        </w:rPr>
        <w:t xml:space="preserve">as a podiatrist in Australia </w:t>
      </w:r>
      <w:r w:rsidR="00EA7245" w:rsidRPr="00F60681">
        <w:rPr>
          <w:rFonts w:ascii="Arial" w:hAnsi="Arial" w:cs="Arial"/>
          <w:szCs w:val="20"/>
        </w:rPr>
        <w:t xml:space="preserve">and any additional requirements for podiatric surgeons as specified in </w:t>
      </w:r>
      <w:r w:rsidR="00B12C50" w:rsidRPr="00F60681">
        <w:rPr>
          <w:rFonts w:ascii="Arial" w:hAnsi="Arial" w:cs="Arial"/>
          <w:szCs w:val="20"/>
        </w:rPr>
        <w:t xml:space="preserve">the Board’s </w:t>
      </w:r>
      <w:r w:rsidR="00EA7245" w:rsidRPr="00F60681">
        <w:rPr>
          <w:rFonts w:ascii="Arial" w:hAnsi="Arial" w:cs="Arial"/>
          <w:szCs w:val="20"/>
        </w:rPr>
        <w:t>registration standards</w:t>
      </w:r>
      <w:r w:rsidR="00192BCC" w:rsidRPr="00F60681">
        <w:rPr>
          <w:rFonts w:ascii="Arial" w:hAnsi="Arial" w:cs="Arial"/>
          <w:szCs w:val="20"/>
        </w:rPr>
        <w:t xml:space="preserve">, including the Board’s </w:t>
      </w:r>
      <w:r w:rsidR="00192BCC" w:rsidRPr="007D750D">
        <w:rPr>
          <w:rFonts w:ascii="Arial" w:hAnsi="Arial" w:cs="Arial"/>
          <w:i/>
          <w:szCs w:val="20"/>
        </w:rPr>
        <w:t xml:space="preserve">Continuing </w:t>
      </w:r>
      <w:r w:rsidR="007D750D" w:rsidRPr="007D750D">
        <w:rPr>
          <w:rFonts w:ascii="Arial" w:hAnsi="Arial" w:cs="Arial"/>
          <w:i/>
          <w:szCs w:val="20"/>
        </w:rPr>
        <w:t>p</w:t>
      </w:r>
      <w:r w:rsidR="00192BCC" w:rsidRPr="007D750D">
        <w:rPr>
          <w:rFonts w:ascii="Arial" w:hAnsi="Arial" w:cs="Arial"/>
          <w:i/>
          <w:szCs w:val="20"/>
        </w:rPr>
        <w:t xml:space="preserve">rofessional </w:t>
      </w:r>
      <w:r w:rsidR="007D750D" w:rsidRPr="007D750D">
        <w:rPr>
          <w:rFonts w:ascii="Arial" w:hAnsi="Arial" w:cs="Arial"/>
          <w:i/>
          <w:szCs w:val="20"/>
        </w:rPr>
        <w:t>d</w:t>
      </w:r>
      <w:r w:rsidR="00192BCC" w:rsidRPr="007D750D">
        <w:rPr>
          <w:rFonts w:ascii="Arial" w:hAnsi="Arial" w:cs="Arial"/>
          <w:i/>
          <w:szCs w:val="20"/>
        </w:rPr>
        <w:t>evelopment</w:t>
      </w:r>
      <w:r w:rsidR="004A4DB2" w:rsidRPr="007D750D">
        <w:rPr>
          <w:rFonts w:ascii="Arial" w:hAnsi="Arial" w:cs="Arial"/>
          <w:i/>
          <w:szCs w:val="20"/>
        </w:rPr>
        <w:t xml:space="preserve"> </w:t>
      </w:r>
      <w:r w:rsidR="007D750D" w:rsidRPr="007D750D">
        <w:rPr>
          <w:rFonts w:ascii="Arial" w:hAnsi="Arial" w:cs="Arial"/>
          <w:i/>
          <w:szCs w:val="20"/>
        </w:rPr>
        <w:t>r</w:t>
      </w:r>
      <w:r w:rsidR="004A4DB2" w:rsidRPr="007D750D">
        <w:rPr>
          <w:rFonts w:ascii="Arial" w:hAnsi="Arial" w:cs="Arial"/>
          <w:i/>
          <w:szCs w:val="20"/>
        </w:rPr>
        <w:t xml:space="preserve">egistration </w:t>
      </w:r>
      <w:r w:rsidR="007D750D" w:rsidRPr="007D750D">
        <w:rPr>
          <w:rFonts w:ascii="Arial" w:hAnsi="Arial" w:cs="Arial"/>
          <w:i/>
          <w:szCs w:val="20"/>
        </w:rPr>
        <w:t>s</w:t>
      </w:r>
      <w:r w:rsidR="004A4DB2" w:rsidRPr="007D750D">
        <w:rPr>
          <w:rFonts w:ascii="Arial" w:hAnsi="Arial" w:cs="Arial"/>
          <w:i/>
          <w:szCs w:val="20"/>
        </w:rPr>
        <w:t>tandard</w:t>
      </w:r>
      <w:r w:rsidR="004A4DB2" w:rsidRPr="00F60681">
        <w:rPr>
          <w:rFonts w:ascii="Arial" w:hAnsi="Arial" w:cs="Arial"/>
          <w:szCs w:val="20"/>
        </w:rPr>
        <w:t>.</w:t>
      </w:r>
    </w:p>
    <w:p w:rsidR="00081A77" w:rsidRPr="00F60681" w:rsidRDefault="00F70A78" w:rsidP="000D109F">
      <w:pPr>
        <w:pStyle w:val="AHPRAbody"/>
        <w:numPr>
          <w:ilvl w:val="0"/>
          <w:numId w:val="19"/>
        </w:numPr>
        <w:ind w:left="426" w:hanging="426"/>
        <w:jc w:val="both"/>
        <w:rPr>
          <w:rFonts w:ascii="Arial" w:hAnsi="Arial" w:cs="Arial"/>
          <w:szCs w:val="20"/>
        </w:rPr>
      </w:pPr>
      <w:r w:rsidRPr="00F60681">
        <w:rPr>
          <w:rFonts w:ascii="Arial" w:hAnsi="Arial" w:cs="Arial"/>
          <w:szCs w:val="20"/>
        </w:rPr>
        <w:t>Submit</w:t>
      </w:r>
      <w:r w:rsidR="00081A77" w:rsidRPr="00F60681">
        <w:rPr>
          <w:rFonts w:ascii="Arial" w:hAnsi="Arial" w:cs="Arial"/>
          <w:szCs w:val="20"/>
        </w:rPr>
        <w:t xml:space="preserve"> the relevant application form</w:t>
      </w:r>
      <w:r w:rsidR="00DF117E" w:rsidRPr="00F60681">
        <w:rPr>
          <w:rFonts w:ascii="Arial" w:hAnsi="Arial" w:cs="Arial"/>
          <w:szCs w:val="20"/>
        </w:rPr>
        <w:t xml:space="preserve"> </w:t>
      </w:r>
      <w:r w:rsidRPr="00F60681">
        <w:rPr>
          <w:rFonts w:ascii="Arial" w:hAnsi="Arial" w:cs="Arial"/>
          <w:szCs w:val="20"/>
        </w:rPr>
        <w:t xml:space="preserve">for specialist registration </w:t>
      </w:r>
      <w:r w:rsidR="000D109F" w:rsidRPr="00F60681">
        <w:rPr>
          <w:rFonts w:ascii="Arial" w:hAnsi="Arial" w:cs="Arial"/>
          <w:szCs w:val="20"/>
        </w:rPr>
        <w:t>with</w:t>
      </w:r>
      <w:r w:rsidR="00081A77" w:rsidRPr="00F60681">
        <w:rPr>
          <w:rFonts w:ascii="Arial" w:hAnsi="Arial" w:cs="Arial"/>
          <w:szCs w:val="20"/>
        </w:rPr>
        <w:t xml:space="preserve"> </w:t>
      </w:r>
      <w:r w:rsidR="004B566C" w:rsidRPr="00F60681">
        <w:rPr>
          <w:rFonts w:ascii="Arial" w:hAnsi="Arial" w:cs="Arial"/>
          <w:szCs w:val="20"/>
        </w:rPr>
        <w:t xml:space="preserve">the required documentation </w:t>
      </w:r>
      <w:r w:rsidR="00851082" w:rsidRPr="00F60681">
        <w:rPr>
          <w:rFonts w:ascii="Arial" w:hAnsi="Arial" w:cs="Arial"/>
          <w:szCs w:val="20"/>
        </w:rPr>
        <w:t xml:space="preserve">and </w:t>
      </w:r>
      <w:r w:rsidR="007566E7" w:rsidRPr="00F60681">
        <w:rPr>
          <w:rFonts w:ascii="Arial" w:hAnsi="Arial" w:cs="Arial"/>
          <w:szCs w:val="20"/>
        </w:rPr>
        <w:t xml:space="preserve">any </w:t>
      </w:r>
      <w:r w:rsidR="00851082" w:rsidRPr="00F60681">
        <w:rPr>
          <w:rFonts w:ascii="Arial" w:hAnsi="Arial" w:cs="Arial"/>
          <w:szCs w:val="20"/>
        </w:rPr>
        <w:t xml:space="preserve">requisite fee </w:t>
      </w:r>
      <w:r w:rsidR="004B566C" w:rsidRPr="00F60681">
        <w:rPr>
          <w:rFonts w:ascii="Arial" w:hAnsi="Arial" w:cs="Arial"/>
          <w:szCs w:val="20"/>
        </w:rPr>
        <w:t>as set out in the application form.</w:t>
      </w:r>
    </w:p>
    <w:p w:rsidR="004B566C" w:rsidRPr="00F60681" w:rsidRDefault="00F70A78" w:rsidP="00081A77">
      <w:pPr>
        <w:pStyle w:val="AHPRAbody"/>
        <w:numPr>
          <w:ilvl w:val="0"/>
          <w:numId w:val="19"/>
        </w:numPr>
        <w:ind w:left="426" w:hanging="426"/>
        <w:rPr>
          <w:rFonts w:ascii="Arial" w:hAnsi="Arial" w:cs="Arial"/>
          <w:szCs w:val="20"/>
        </w:rPr>
      </w:pPr>
      <w:r w:rsidRPr="00F60681">
        <w:rPr>
          <w:rFonts w:ascii="Arial" w:hAnsi="Arial" w:cs="Arial"/>
          <w:szCs w:val="20"/>
        </w:rPr>
        <w:t>P</w:t>
      </w:r>
      <w:r w:rsidR="004B566C" w:rsidRPr="00F60681">
        <w:rPr>
          <w:rFonts w:ascii="Arial" w:hAnsi="Arial" w:cs="Arial"/>
          <w:szCs w:val="20"/>
        </w:rPr>
        <w:t>rovide any other information the Board may require u</w:t>
      </w:r>
      <w:r w:rsidR="006C225E" w:rsidRPr="00F60681">
        <w:rPr>
          <w:rFonts w:ascii="Arial" w:hAnsi="Arial" w:cs="Arial"/>
          <w:szCs w:val="20"/>
        </w:rPr>
        <w:t>n</w:t>
      </w:r>
      <w:r w:rsidR="004B566C" w:rsidRPr="00F60681">
        <w:rPr>
          <w:rFonts w:ascii="Arial" w:hAnsi="Arial" w:cs="Arial"/>
          <w:szCs w:val="20"/>
        </w:rPr>
        <w:t xml:space="preserve">der </w:t>
      </w:r>
      <w:r w:rsidR="00CB047B" w:rsidRPr="00F60681">
        <w:rPr>
          <w:rFonts w:ascii="Arial" w:hAnsi="Arial" w:cs="Arial"/>
          <w:szCs w:val="20"/>
        </w:rPr>
        <w:t>section 80</w:t>
      </w:r>
      <w:r w:rsidR="004B566C" w:rsidRPr="00F60681">
        <w:rPr>
          <w:rFonts w:ascii="Arial" w:hAnsi="Arial" w:cs="Arial"/>
          <w:szCs w:val="20"/>
        </w:rPr>
        <w:t xml:space="preserve"> of the National Law to determine whether the applicant is a suitable person to hold specialist registration.</w:t>
      </w:r>
    </w:p>
    <w:p w:rsidR="00B11608" w:rsidRPr="00F60681" w:rsidRDefault="00B11608" w:rsidP="00B11608">
      <w:pPr>
        <w:pStyle w:val="AHPRAbody"/>
        <w:rPr>
          <w:rFonts w:ascii="HelveticaNeue-Bold" w:eastAsiaTheme="minorHAnsi" w:hAnsi="HelveticaNeue-Bold" w:cs="HelveticaNeue-Bold"/>
          <w:b/>
          <w:bCs/>
          <w:color w:val="007DC3"/>
          <w:szCs w:val="20"/>
        </w:rPr>
      </w:pPr>
      <w:r w:rsidRPr="00F60681">
        <w:rPr>
          <w:rFonts w:ascii="Arial" w:hAnsi="Arial"/>
          <w:b/>
          <w:color w:val="007DC3"/>
          <w:szCs w:val="20"/>
        </w:rPr>
        <w:t>Period of registration</w:t>
      </w:r>
    </w:p>
    <w:p w:rsidR="00B11608" w:rsidRPr="00F60681" w:rsidRDefault="00B11608" w:rsidP="00B11608">
      <w:pPr>
        <w:pStyle w:val="AHPRASubhead"/>
        <w:rPr>
          <w:rFonts w:cs="Arial"/>
          <w:b w:val="0"/>
          <w:color w:val="auto"/>
          <w:szCs w:val="20"/>
        </w:rPr>
      </w:pPr>
      <w:r w:rsidRPr="00F60681">
        <w:rPr>
          <w:rFonts w:cs="Arial"/>
          <w:b w:val="0"/>
          <w:color w:val="auto"/>
          <w:szCs w:val="20"/>
        </w:rPr>
        <w:t xml:space="preserve">The Board will initially grant specialist registration for the period until the following 30 November. Thereafter, specialist registration </w:t>
      </w:r>
      <w:r w:rsidR="001B0079" w:rsidRPr="00F60681">
        <w:rPr>
          <w:rFonts w:cs="Arial"/>
          <w:b w:val="0"/>
          <w:color w:val="auto"/>
          <w:szCs w:val="20"/>
        </w:rPr>
        <w:t>may be renewed</w:t>
      </w:r>
      <w:r w:rsidRPr="00F60681">
        <w:rPr>
          <w:rFonts w:cs="Arial"/>
          <w:b w:val="0"/>
          <w:color w:val="auto"/>
          <w:szCs w:val="20"/>
        </w:rPr>
        <w:t xml:space="preserve"> for </w:t>
      </w:r>
      <w:r w:rsidR="001B0079" w:rsidRPr="00F60681">
        <w:rPr>
          <w:rFonts w:cs="Arial"/>
          <w:b w:val="0"/>
          <w:color w:val="auto"/>
          <w:szCs w:val="20"/>
        </w:rPr>
        <w:t xml:space="preserve">a period of </w:t>
      </w:r>
      <w:r w:rsidRPr="00F60681">
        <w:rPr>
          <w:rFonts w:cs="Arial"/>
          <w:b w:val="0"/>
          <w:color w:val="auto"/>
          <w:szCs w:val="20"/>
        </w:rPr>
        <w:t>12 months</w:t>
      </w:r>
      <w:r w:rsidR="00DF117E" w:rsidRPr="00F60681">
        <w:rPr>
          <w:rFonts w:cs="Arial"/>
          <w:b w:val="0"/>
          <w:color w:val="auto"/>
          <w:szCs w:val="20"/>
        </w:rPr>
        <w:t xml:space="preserve"> at a time</w:t>
      </w:r>
      <w:r w:rsidRPr="00F60681">
        <w:rPr>
          <w:rFonts w:cs="Arial"/>
          <w:b w:val="0"/>
          <w:color w:val="auto"/>
          <w:szCs w:val="20"/>
        </w:rPr>
        <w:t>, with an expiry date of 30 November of each year.</w:t>
      </w:r>
    </w:p>
    <w:p w:rsidR="008B095F" w:rsidRPr="00F60681" w:rsidRDefault="008B095F" w:rsidP="008B095F">
      <w:pPr>
        <w:pStyle w:val="AHPRAbody"/>
        <w:rPr>
          <w:rFonts w:ascii="Arial" w:hAnsi="Arial"/>
          <w:b/>
          <w:color w:val="007DC3"/>
          <w:szCs w:val="20"/>
        </w:rPr>
      </w:pPr>
      <w:r w:rsidRPr="00F60681">
        <w:rPr>
          <w:rFonts w:ascii="Arial" w:hAnsi="Arial"/>
          <w:b/>
          <w:color w:val="007DC3"/>
          <w:szCs w:val="20"/>
        </w:rPr>
        <w:t>Restricted scope of practice</w:t>
      </w:r>
    </w:p>
    <w:p w:rsidR="008B095F" w:rsidRPr="00F60681" w:rsidRDefault="008B095F" w:rsidP="008B095F">
      <w:pPr>
        <w:pStyle w:val="AHPRAbody"/>
        <w:rPr>
          <w:rFonts w:ascii="Arial" w:hAnsi="Arial"/>
          <w:szCs w:val="20"/>
        </w:rPr>
      </w:pPr>
      <w:r w:rsidRPr="00F60681">
        <w:rPr>
          <w:rFonts w:ascii="Arial" w:hAnsi="Arial"/>
          <w:szCs w:val="20"/>
        </w:rPr>
        <w:t xml:space="preserve">A podiatric surgeon who </w:t>
      </w:r>
      <w:r w:rsidRPr="00F60681">
        <w:rPr>
          <w:rFonts w:ascii="Arial" w:hAnsi="Arial" w:cs="Arial"/>
          <w:szCs w:val="20"/>
        </w:rPr>
        <w:t xml:space="preserve">holds specialist registration but </w:t>
      </w:r>
      <w:r w:rsidR="00614CCD" w:rsidRPr="00F60681">
        <w:rPr>
          <w:rFonts w:ascii="Arial" w:hAnsi="Arial" w:cs="Arial"/>
          <w:szCs w:val="20"/>
        </w:rPr>
        <w:t xml:space="preserve">does not hold general registration as a </w:t>
      </w:r>
      <w:r w:rsidR="00A32FA1" w:rsidRPr="00F60681">
        <w:rPr>
          <w:rFonts w:ascii="Arial" w:hAnsi="Arial" w:cs="Arial"/>
          <w:szCs w:val="20"/>
        </w:rPr>
        <w:t>podiatrist will</w:t>
      </w:r>
      <w:r w:rsidR="00614CCD" w:rsidRPr="00F60681">
        <w:rPr>
          <w:rFonts w:ascii="Arial" w:hAnsi="Arial" w:cs="Arial"/>
          <w:szCs w:val="20"/>
        </w:rPr>
        <w:t xml:space="preserve"> </w:t>
      </w:r>
      <w:r w:rsidRPr="00F60681">
        <w:rPr>
          <w:rFonts w:ascii="Arial" w:hAnsi="Arial"/>
          <w:szCs w:val="20"/>
        </w:rPr>
        <w:t>have a restricted scope of practice</w:t>
      </w:r>
      <w:r w:rsidR="009244F3" w:rsidRPr="00F60681">
        <w:rPr>
          <w:rFonts w:ascii="Arial" w:hAnsi="Arial"/>
          <w:szCs w:val="20"/>
        </w:rPr>
        <w:t xml:space="preserve"> limiting the practitioner to </w:t>
      </w:r>
      <w:r w:rsidR="00AF3267" w:rsidRPr="00F60681">
        <w:rPr>
          <w:rFonts w:ascii="Arial" w:hAnsi="Arial"/>
          <w:szCs w:val="20"/>
        </w:rPr>
        <w:t>practi</w:t>
      </w:r>
      <w:r w:rsidR="00092321" w:rsidRPr="00F60681">
        <w:rPr>
          <w:rFonts w:ascii="Arial" w:hAnsi="Arial"/>
          <w:szCs w:val="20"/>
        </w:rPr>
        <w:t>c</w:t>
      </w:r>
      <w:r w:rsidR="00AF3267" w:rsidRPr="00F60681">
        <w:rPr>
          <w:rFonts w:ascii="Arial" w:hAnsi="Arial"/>
          <w:szCs w:val="20"/>
        </w:rPr>
        <w:t xml:space="preserve">e </w:t>
      </w:r>
      <w:r w:rsidR="008B28C4" w:rsidRPr="00F60681">
        <w:rPr>
          <w:rFonts w:ascii="Arial" w:hAnsi="Arial"/>
          <w:szCs w:val="20"/>
        </w:rPr>
        <w:t xml:space="preserve">that is relevant to </w:t>
      </w:r>
      <w:r w:rsidR="008A1E64" w:rsidRPr="00F60681">
        <w:rPr>
          <w:rFonts w:ascii="Arial" w:hAnsi="Arial"/>
          <w:szCs w:val="20"/>
        </w:rPr>
        <w:t xml:space="preserve">the scope of practice of </w:t>
      </w:r>
      <w:r w:rsidR="009244F3" w:rsidRPr="00F60681">
        <w:rPr>
          <w:rFonts w:ascii="Arial" w:hAnsi="Arial"/>
          <w:szCs w:val="20"/>
        </w:rPr>
        <w:t xml:space="preserve">podiatric surgery. </w:t>
      </w:r>
      <w:r w:rsidR="008B28C4" w:rsidRPr="00F60681">
        <w:rPr>
          <w:rFonts w:ascii="Arial" w:hAnsi="Arial"/>
          <w:szCs w:val="20"/>
        </w:rPr>
        <w:t xml:space="preserve">This will be recorded on the </w:t>
      </w:r>
      <w:r w:rsidR="00851082" w:rsidRPr="00F60681">
        <w:rPr>
          <w:rFonts w:ascii="Arial" w:hAnsi="Arial"/>
          <w:szCs w:val="20"/>
        </w:rPr>
        <w:t xml:space="preserve">Board’s Specialist </w:t>
      </w:r>
      <w:r w:rsidR="008B28C4" w:rsidRPr="00F60681">
        <w:rPr>
          <w:rFonts w:ascii="Arial" w:hAnsi="Arial"/>
          <w:szCs w:val="20"/>
        </w:rPr>
        <w:t>Register</w:t>
      </w:r>
      <w:r w:rsidR="00B12C50" w:rsidRPr="00F60681">
        <w:rPr>
          <w:rFonts w:ascii="Arial" w:hAnsi="Arial"/>
          <w:szCs w:val="20"/>
        </w:rPr>
        <w:t>.</w:t>
      </w:r>
    </w:p>
    <w:p w:rsidR="00B640FD" w:rsidRPr="00F60681" w:rsidRDefault="00EC4F11" w:rsidP="00EC4F11">
      <w:pPr>
        <w:pStyle w:val="AHPRAbody"/>
        <w:rPr>
          <w:rFonts w:ascii="Arial" w:hAnsi="Arial"/>
          <w:b/>
          <w:color w:val="007DC3"/>
          <w:szCs w:val="20"/>
        </w:rPr>
      </w:pPr>
      <w:r w:rsidRPr="00F60681">
        <w:rPr>
          <w:rFonts w:ascii="Arial" w:hAnsi="Arial"/>
          <w:b/>
          <w:color w:val="007DC3"/>
          <w:szCs w:val="20"/>
        </w:rPr>
        <w:t>Requirements for renewal of specialist registration</w:t>
      </w:r>
    </w:p>
    <w:p w:rsidR="00EC4F11" w:rsidRPr="00F60681" w:rsidRDefault="00EC4F11" w:rsidP="00EC4F11">
      <w:pPr>
        <w:pStyle w:val="AHPRASubhead"/>
        <w:rPr>
          <w:rFonts w:cs="Arial"/>
          <w:b w:val="0"/>
          <w:color w:val="auto"/>
          <w:szCs w:val="20"/>
        </w:rPr>
      </w:pPr>
      <w:r w:rsidRPr="00F60681">
        <w:rPr>
          <w:rFonts w:cs="Arial"/>
          <w:b w:val="0"/>
          <w:color w:val="auto"/>
          <w:szCs w:val="20"/>
        </w:rPr>
        <w:t>Renewal of specialist registration will be subject to the practitioner meeting the following requirements:</w:t>
      </w:r>
    </w:p>
    <w:p w:rsidR="00EC4F11" w:rsidRPr="00F60681" w:rsidRDefault="00DA4150" w:rsidP="00DA4150">
      <w:pPr>
        <w:pStyle w:val="AHPRASubhead"/>
        <w:numPr>
          <w:ilvl w:val="0"/>
          <w:numId w:val="18"/>
        </w:numPr>
        <w:ind w:left="426" w:hanging="426"/>
        <w:rPr>
          <w:rFonts w:cs="Arial"/>
          <w:b w:val="0"/>
          <w:color w:val="auto"/>
          <w:szCs w:val="20"/>
        </w:rPr>
      </w:pPr>
      <w:r w:rsidRPr="00F60681">
        <w:rPr>
          <w:rFonts w:cs="Arial"/>
          <w:b w:val="0"/>
          <w:color w:val="auto"/>
          <w:szCs w:val="20"/>
        </w:rPr>
        <w:t>C</w:t>
      </w:r>
      <w:r w:rsidR="00EC4F11" w:rsidRPr="00F60681">
        <w:rPr>
          <w:rFonts w:cs="Arial"/>
          <w:b w:val="0"/>
          <w:color w:val="auto"/>
          <w:szCs w:val="20"/>
        </w:rPr>
        <w:t xml:space="preserve">ompletion of an annual renewal form </w:t>
      </w:r>
      <w:r w:rsidR="00823D32" w:rsidRPr="00F60681">
        <w:rPr>
          <w:rFonts w:cs="Arial"/>
          <w:b w:val="0"/>
          <w:color w:val="auto"/>
          <w:szCs w:val="20"/>
        </w:rPr>
        <w:t>including a</w:t>
      </w:r>
      <w:r w:rsidR="00EC4F11" w:rsidRPr="00F60681">
        <w:rPr>
          <w:rFonts w:cs="Arial"/>
          <w:b w:val="0"/>
          <w:color w:val="auto"/>
          <w:szCs w:val="20"/>
        </w:rPr>
        <w:t xml:space="preserve"> statement as required by </w:t>
      </w:r>
      <w:r w:rsidR="00CB047B" w:rsidRPr="00F60681">
        <w:rPr>
          <w:rFonts w:cs="Arial"/>
          <w:b w:val="0"/>
          <w:color w:val="auto"/>
          <w:szCs w:val="20"/>
        </w:rPr>
        <w:t>section 109</w:t>
      </w:r>
      <w:r w:rsidR="00EC4F11" w:rsidRPr="00F60681">
        <w:rPr>
          <w:rFonts w:cs="Arial"/>
          <w:b w:val="0"/>
          <w:color w:val="auto"/>
          <w:szCs w:val="20"/>
        </w:rPr>
        <w:t xml:space="preserve"> of the National Law</w:t>
      </w:r>
      <w:r w:rsidRPr="00F60681">
        <w:rPr>
          <w:rFonts w:cs="Arial"/>
          <w:b w:val="0"/>
          <w:color w:val="auto"/>
          <w:szCs w:val="20"/>
        </w:rPr>
        <w:t>.</w:t>
      </w:r>
    </w:p>
    <w:p w:rsidR="00EC4F11" w:rsidRPr="00F60681" w:rsidRDefault="00DA4150" w:rsidP="00DA4150">
      <w:pPr>
        <w:pStyle w:val="AHPRASubhead"/>
        <w:numPr>
          <w:ilvl w:val="0"/>
          <w:numId w:val="18"/>
        </w:numPr>
        <w:ind w:left="426" w:hanging="426"/>
        <w:rPr>
          <w:rFonts w:cs="Arial"/>
          <w:b w:val="0"/>
          <w:color w:val="auto"/>
          <w:szCs w:val="20"/>
        </w:rPr>
      </w:pPr>
      <w:r w:rsidRPr="00F60681">
        <w:rPr>
          <w:rFonts w:cs="Arial"/>
          <w:b w:val="0"/>
          <w:color w:val="auto"/>
          <w:szCs w:val="20"/>
        </w:rPr>
        <w:t>D</w:t>
      </w:r>
      <w:r w:rsidR="00EC4F11" w:rsidRPr="00F60681">
        <w:rPr>
          <w:rFonts w:cs="Arial"/>
          <w:b w:val="0"/>
          <w:color w:val="auto"/>
          <w:szCs w:val="20"/>
        </w:rPr>
        <w:t>emonstrated compliance with any conditions on registration</w:t>
      </w:r>
      <w:r w:rsidRPr="00F60681">
        <w:rPr>
          <w:rFonts w:cs="Arial"/>
          <w:b w:val="0"/>
          <w:color w:val="auto"/>
          <w:szCs w:val="20"/>
        </w:rPr>
        <w:t>.</w:t>
      </w:r>
    </w:p>
    <w:p w:rsidR="00B640FD" w:rsidRPr="00F60681" w:rsidRDefault="00DA4150" w:rsidP="00DA4150">
      <w:pPr>
        <w:pStyle w:val="AHPRASubhead"/>
        <w:ind w:left="426" w:hanging="426"/>
        <w:rPr>
          <w:szCs w:val="20"/>
        </w:rPr>
      </w:pPr>
      <w:r w:rsidRPr="00F60681">
        <w:rPr>
          <w:rFonts w:cs="Arial"/>
          <w:b w:val="0"/>
          <w:color w:val="auto"/>
          <w:szCs w:val="20"/>
        </w:rPr>
        <w:lastRenderedPageBreak/>
        <w:t>3.</w:t>
      </w:r>
      <w:r w:rsidRPr="00F60681">
        <w:rPr>
          <w:rFonts w:cs="Arial"/>
          <w:b w:val="0"/>
          <w:color w:val="auto"/>
          <w:szCs w:val="20"/>
        </w:rPr>
        <w:tab/>
        <w:t>A</w:t>
      </w:r>
      <w:r w:rsidR="00EC4F11" w:rsidRPr="00F60681">
        <w:rPr>
          <w:rFonts w:cs="Arial"/>
          <w:b w:val="0"/>
          <w:color w:val="auto"/>
          <w:szCs w:val="20"/>
        </w:rPr>
        <w:t xml:space="preserve">ny additional investigation, information, examination or assessment required by the Board in accordance with </w:t>
      </w:r>
      <w:r w:rsidR="00CB047B" w:rsidRPr="00F60681">
        <w:rPr>
          <w:rFonts w:cs="Arial"/>
          <w:b w:val="0"/>
          <w:color w:val="auto"/>
          <w:szCs w:val="20"/>
        </w:rPr>
        <w:t>section 80</w:t>
      </w:r>
      <w:r w:rsidR="00EC4F11" w:rsidRPr="00F60681">
        <w:rPr>
          <w:rFonts w:cs="Arial"/>
          <w:b w:val="0"/>
          <w:color w:val="auto"/>
          <w:szCs w:val="20"/>
        </w:rPr>
        <w:t xml:space="preserve"> of the National Law</w:t>
      </w:r>
      <w:r w:rsidR="00F70A78" w:rsidRPr="00F60681">
        <w:rPr>
          <w:rFonts w:cs="Arial"/>
          <w:b w:val="0"/>
          <w:color w:val="auto"/>
          <w:szCs w:val="20"/>
        </w:rPr>
        <w:t>.</w:t>
      </w:r>
    </w:p>
    <w:p w:rsidR="00E51E68" w:rsidRPr="003157BC" w:rsidRDefault="003157BC" w:rsidP="00DC2549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3157BC">
        <w:rPr>
          <w:b/>
          <w:color w:val="007DC3"/>
          <w:sz w:val="20"/>
          <w:szCs w:val="20"/>
        </w:rPr>
        <w:t>Review</w:t>
      </w:r>
    </w:p>
    <w:p w:rsidR="00E51E68" w:rsidRPr="003157BC" w:rsidRDefault="00E51E68" w:rsidP="003157BC">
      <w:pPr>
        <w:autoSpaceDE w:val="0"/>
        <w:autoSpaceDN w:val="0"/>
        <w:adjustRightInd w:val="0"/>
        <w:spacing w:before="120"/>
        <w:rPr>
          <w:rFonts w:eastAsiaTheme="minorHAnsi" w:cs="Arial"/>
          <w:sz w:val="20"/>
          <w:szCs w:val="20"/>
        </w:rPr>
      </w:pPr>
      <w:r w:rsidRPr="003157BC">
        <w:rPr>
          <w:rFonts w:eastAsiaTheme="minorHAnsi" w:cs="Arial"/>
          <w:b/>
          <w:sz w:val="20"/>
          <w:szCs w:val="20"/>
        </w:rPr>
        <w:t>Effective from:</w:t>
      </w:r>
      <w:r w:rsidRPr="003157BC">
        <w:rPr>
          <w:rFonts w:eastAsiaTheme="minorHAnsi" w:cs="Arial"/>
          <w:sz w:val="20"/>
          <w:szCs w:val="20"/>
        </w:rPr>
        <w:t xml:space="preserve"> 24 February 2015</w:t>
      </w:r>
    </w:p>
    <w:p w:rsidR="00E51E68" w:rsidRPr="003157BC" w:rsidRDefault="003157BC" w:rsidP="003157BC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3157BC">
        <w:rPr>
          <w:rFonts w:eastAsiaTheme="minorHAnsi" w:cs="Arial"/>
          <w:b/>
          <w:sz w:val="20"/>
          <w:szCs w:val="20"/>
        </w:rPr>
        <w:t>Date of review:</w:t>
      </w:r>
      <w:r w:rsidRPr="003157BC">
        <w:rPr>
          <w:rFonts w:eastAsiaTheme="minorHAnsi" w:cs="Arial"/>
          <w:sz w:val="20"/>
          <w:szCs w:val="20"/>
        </w:rPr>
        <w:t xml:space="preserve"> The Board will review this standard at least every three (3) years</w:t>
      </w:r>
      <w:r w:rsidR="00AC7043">
        <w:rPr>
          <w:rFonts w:eastAsiaTheme="minorHAnsi" w:cs="Arial"/>
          <w:sz w:val="20"/>
          <w:szCs w:val="20"/>
        </w:rPr>
        <w:t xml:space="preserve"> from the date of commencement</w:t>
      </w:r>
      <w:r w:rsidRPr="003157BC">
        <w:rPr>
          <w:rFonts w:eastAsiaTheme="minorHAnsi" w:cs="Arial"/>
          <w:sz w:val="20"/>
          <w:szCs w:val="20"/>
        </w:rPr>
        <w:t>.</w:t>
      </w:r>
    </w:p>
    <w:p w:rsidR="00E51E68" w:rsidRPr="003157BC" w:rsidRDefault="00E51E68" w:rsidP="003157BC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</w:p>
    <w:sectPr w:rsidR="00E51E68" w:rsidRPr="003157BC" w:rsidSect="00F60681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68" w:rsidRDefault="00E51E68" w:rsidP="00D02358">
      <w:r>
        <w:separator/>
      </w:r>
    </w:p>
  </w:endnote>
  <w:endnote w:type="continuationSeparator" w:id="0">
    <w:p w:rsidR="00E51E68" w:rsidRDefault="00E51E68" w:rsidP="00D0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="Times New Roman"/>
        <w:b w:val="0"/>
        <w:color w:val="auto"/>
        <w:sz w:val="24"/>
        <w:szCs w:val="18"/>
        <w:lang w:val="en-AU"/>
      </w:rPr>
      <w:id w:val="282066552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E51E68" w:rsidRPr="00F60681" w:rsidRDefault="00E51E68" w:rsidP="00F60681">
        <w:pPr>
          <w:pStyle w:val="AHPRAfirstpagefooter"/>
          <w:rPr>
            <w:szCs w:val="18"/>
          </w:rPr>
        </w:pPr>
        <w:r w:rsidRPr="00F60681">
          <w:rPr>
            <w:color w:val="007DC3"/>
            <w:szCs w:val="18"/>
          </w:rPr>
          <w:t>Podiatry</w:t>
        </w:r>
        <w:r w:rsidRPr="00F60681">
          <w:rPr>
            <w:szCs w:val="18"/>
          </w:rPr>
          <w:t xml:space="preserve"> Board of Australia</w:t>
        </w:r>
      </w:p>
      <w:p w:rsidR="00E51E68" w:rsidRPr="00F60681" w:rsidRDefault="00E51E68" w:rsidP="00F60681">
        <w:pPr>
          <w:pStyle w:val="Footer"/>
          <w:jc w:val="center"/>
          <w:rPr>
            <w:sz w:val="18"/>
            <w:szCs w:val="18"/>
          </w:rPr>
        </w:pPr>
        <w:r w:rsidRPr="00F60681">
          <w:rPr>
            <w:sz w:val="18"/>
            <w:szCs w:val="18"/>
          </w:rPr>
          <w:t xml:space="preserve">G.P.O. Box 9958   </w:t>
        </w:r>
        <w:r w:rsidRPr="00F60681">
          <w:rPr>
            <w:b/>
            <w:color w:val="007DC3"/>
            <w:sz w:val="18"/>
            <w:szCs w:val="18"/>
          </w:rPr>
          <w:t>|</w:t>
        </w:r>
        <w:r w:rsidRPr="00F60681">
          <w:rPr>
            <w:sz w:val="18"/>
            <w:szCs w:val="18"/>
          </w:rPr>
          <w:t xml:space="preserve">   Melbourne VIC 3001   </w:t>
        </w:r>
        <w:r w:rsidRPr="00F60681">
          <w:rPr>
            <w:b/>
            <w:color w:val="007DC3"/>
            <w:sz w:val="18"/>
            <w:szCs w:val="18"/>
          </w:rPr>
          <w:t>|</w:t>
        </w:r>
        <w:r w:rsidRPr="00F60681">
          <w:rPr>
            <w:sz w:val="18"/>
            <w:szCs w:val="18"/>
          </w:rPr>
          <w:t xml:space="preserve">   www.podiatryboard.gov.au</w:t>
        </w:r>
      </w:p>
      <w:p w:rsidR="00E51E68" w:rsidRDefault="00384C5D" w:rsidP="00F60681">
        <w:pPr>
          <w:pStyle w:val="Footer"/>
          <w:jc w:val="right"/>
        </w:pPr>
        <w:r w:rsidRPr="00F60681">
          <w:rPr>
            <w:sz w:val="18"/>
            <w:szCs w:val="18"/>
          </w:rPr>
          <w:fldChar w:fldCharType="begin"/>
        </w:r>
        <w:r w:rsidR="00E51E68" w:rsidRPr="00F60681">
          <w:rPr>
            <w:sz w:val="18"/>
            <w:szCs w:val="18"/>
          </w:rPr>
          <w:instrText xml:space="preserve"> PAGE   \* MERGEFORMAT </w:instrText>
        </w:r>
        <w:r w:rsidRPr="00F60681">
          <w:rPr>
            <w:sz w:val="18"/>
            <w:szCs w:val="18"/>
          </w:rPr>
          <w:fldChar w:fldCharType="separate"/>
        </w:r>
        <w:r w:rsidR="00C35135">
          <w:rPr>
            <w:noProof/>
            <w:sz w:val="18"/>
            <w:szCs w:val="18"/>
          </w:rPr>
          <w:t>3</w:t>
        </w:r>
        <w:r w:rsidRPr="00F60681">
          <w:rPr>
            <w:sz w:val="18"/>
            <w:szCs w:val="18"/>
          </w:rPr>
          <w:fldChar w:fldCharType="end"/>
        </w:r>
      </w:p>
    </w:sdtContent>
  </w:sdt>
  <w:p w:rsidR="00E51E68" w:rsidRDefault="00E51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68" w:rsidRPr="00F60681" w:rsidRDefault="00E51E68" w:rsidP="00F60681">
    <w:pPr>
      <w:pStyle w:val="AHPRAfirstpagefooter"/>
      <w:rPr>
        <w:szCs w:val="18"/>
      </w:rPr>
    </w:pPr>
    <w:r w:rsidRPr="00F60681">
      <w:rPr>
        <w:color w:val="007DC3"/>
        <w:szCs w:val="18"/>
      </w:rPr>
      <w:t>Podiatry</w:t>
    </w:r>
    <w:r w:rsidRPr="00F60681">
      <w:rPr>
        <w:szCs w:val="18"/>
      </w:rPr>
      <w:t xml:space="preserve"> Board of Australia</w:t>
    </w:r>
  </w:p>
  <w:p w:rsidR="00E51E68" w:rsidRPr="00F60681" w:rsidRDefault="00E51E68" w:rsidP="00F60681">
    <w:pPr>
      <w:pStyle w:val="Footer"/>
      <w:jc w:val="center"/>
      <w:rPr>
        <w:sz w:val="18"/>
        <w:szCs w:val="18"/>
      </w:rPr>
    </w:pPr>
    <w:r w:rsidRPr="00F60681">
      <w:rPr>
        <w:sz w:val="18"/>
        <w:szCs w:val="18"/>
      </w:rPr>
      <w:t xml:space="preserve">G.P.O. Box 9958   </w:t>
    </w:r>
    <w:r w:rsidRPr="00F60681">
      <w:rPr>
        <w:b/>
        <w:color w:val="007DC3"/>
        <w:sz w:val="18"/>
        <w:szCs w:val="18"/>
      </w:rPr>
      <w:t>|</w:t>
    </w:r>
    <w:r w:rsidRPr="00F60681">
      <w:rPr>
        <w:sz w:val="18"/>
        <w:szCs w:val="18"/>
      </w:rPr>
      <w:t xml:space="preserve">   Melbourne VIC 3001   </w:t>
    </w:r>
    <w:r w:rsidRPr="00F60681">
      <w:rPr>
        <w:b/>
        <w:color w:val="007DC3"/>
        <w:sz w:val="18"/>
        <w:szCs w:val="18"/>
      </w:rPr>
      <w:t>|</w:t>
    </w:r>
    <w:r w:rsidRPr="00F60681">
      <w:rPr>
        <w:sz w:val="18"/>
        <w:szCs w:val="18"/>
      </w:rPr>
      <w:t xml:space="preserve">   www.podiatryboard.gov.au</w:t>
    </w:r>
  </w:p>
  <w:p w:rsidR="00E51E68" w:rsidRDefault="00E51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68" w:rsidRDefault="00E51E68" w:rsidP="00D02358">
      <w:r>
        <w:separator/>
      </w:r>
    </w:p>
  </w:footnote>
  <w:footnote w:type="continuationSeparator" w:id="0">
    <w:p w:rsidR="00E51E68" w:rsidRDefault="00E51E68" w:rsidP="00D0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68" w:rsidRDefault="00E51E68" w:rsidP="00F60681">
    <w:pPr>
      <w:pStyle w:val="Header"/>
      <w:jc w:val="right"/>
    </w:pPr>
    <w:r w:rsidRPr="00F60681">
      <w:rPr>
        <w:noProof/>
        <w:lang w:eastAsia="en-AU"/>
      </w:rPr>
      <w:drawing>
        <wp:inline distT="0" distB="0" distL="0" distR="0">
          <wp:extent cx="1530301" cy="1514475"/>
          <wp:effectExtent l="0" t="0" r="0" b="0"/>
          <wp:docPr id="1" name="Picture 1" descr="Podiatr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odiatr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716" cy="15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E68" w:rsidRDefault="00E51E68" w:rsidP="00F606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D93"/>
    <w:multiLevelType w:val="hybridMultilevel"/>
    <w:tmpl w:val="9A5070F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8FC"/>
    <w:multiLevelType w:val="hybridMultilevel"/>
    <w:tmpl w:val="70340D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53712"/>
    <w:multiLevelType w:val="hybridMultilevel"/>
    <w:tmpl w:val="E6644E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24C0E"/>
    <w:multiLevelType w:val="multilevel"/>
    <w:tmpl w:val="F80A309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CCB6B04"/>
    <w:multiLevelType w:val="hybridMultilevel"/>
    <w:tmpl w:val="A87E8CF4"/>
    <w:lvl w:ilvl="0" w:tplc="0C09000F">
      <w:start w:val="1"/>
      <w:numFmt w:val="decimal"/>
      <w:lvlText w:val="%1."/>
      <w:lvlJc w:val="left"/>
      <w:pPr>
        <w:ind w:left="1125" w:hanging="360"/>
      </w:p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255012E"/>
    <w:multiLevelType w:val="hybridMultilevel"/>
    <w:tmpl w:val="3DCE8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A2E">
      <w:numFmt w:val="bullet"/>
      <w:lvlText w:val="•"/>
      <w:lvlJc w:val="left"/>
      <w:pPr>
        <w:ind w:left="1800" w:hanging="720"/>
      </w:pPr>
      <w:rPr>
        <w:rFonts w:ascii="Arial" w:eastAsia="Cambr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E432D"/>
    <w:multiLevelType w:val="hybridMultilevel"/>
    <w:tmpl w:val="00B6A692"/>
    <w:lvl w:ilvl="0" w:tplc="D8FE0BF0">
      <w:start w:val="1"/>
      <w:numFmt w:val="low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30DAF"/>
    <w:multiLevelType w:val="hybridMultilevel"/>
    <w:tmpl w:val="1864F22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A2C0DFC"/>
    <w:multiLevelType w:val="hybridMultilevel"/>
    <w:tmpl w:val="64D24D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26467"/>
    <w:multiLevelType w:val="multilevel"/>
    <w:tmpl w:val="08E2235C"/>
    <w:lvl w:ilvl="0">
      <w:start w:val="1"/>
      <w:numFmt w:val="lowerLetter"/>
      <w:lvlText w:val="%1."/>
      <w:lvlJc w:val="left"/>
      <w:pPr>
        <w:ind w:left="75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8" w:hanging="1440"/>
      </w:pPr>
      <w:rPr>
        <w:rFonts w:hint="default"/>
      </w:rPr>
    </w:lvl>
  </w:abstractNum>
  <w:abstractNum w:abstractNumId="10">
    <w:nsid w:val="2FE63863"/>
    <w:multiLevelType w:val="hybridMultilevel"/>
    <w:tmpl w:val="B9C0A4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4567B0"/>
    <w:multiLevelType w:val="hybridMultilevel"/>
    <w:tmpl w:val="4D9EF6B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DB33BC8"/>
    <w:multiLevelType w:val="hybridMultilevel"/>
    <w:tmpl w:val="36B07B18"/>
    <w:lvl w:ilvl="0" w:tplc="AB52D84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E46941"/>
    <w:multiLevelType w:val="hybridMultilevel"/>
    <w:tmpl w:val="BB2C3DA6"/>
    <w:lvl w:ilvl="0" w:tplc="904078A8">
      <w:start w:val="1"/>
      <w:numFmt w:val="lowerLetter"/>
      <w:lvlText w:val="%1."/>
      <w:lvlJc w:val="left"/>
      <w:pPr>
        <w:ind w:left="765" w:hanging="360"/>
      </w:pPr>
      <w:rPr>
        <w:rFonts w:ascii="Arial" w:eastAsia="Cambria" w:hAnsi="Arial" w:cs="Arial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FF94461"/>
    <w:multiLevelType w:val="multilevel"/>
    <w:tmpl w:val="F796B79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0395BDF"/>
    <w:multiLevelType w:val="hybridMultilevel"/>
    <w:tmpl w:val="8904F470"/>
    <w:lvl w:ilvl="0" w:tplc="303CFB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595C2F"/>
    <w:multiLevelType w:val="hybridMultilevel"/>
    <w:tmpl w:val="419C8816"/>
    <w:lvl w:ilvl="0" w:tplc="2164802A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b w:val="0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5B2C05"/>
    <w:multiLevelType w:val="multilevel"/>
    <w:tmpl w:val="D3248D52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8" w:hanging="1440"/>
      </w:pPr>
      <w:rPr>
        <w:rFonts w:hint="default"/>
      </w:rPr>
    </w:lvl>
  </w:abstractNum>
  <w:abstractNum w:abstractNumId="18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49306F"/>
    <w:multiLevelType w:val="hybridMultilevel"/>
    <w:tmpl w:val="C44AFBBC"/>
    <w:lvl w:ilvl="0" w:tplc="58008A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C47E4D"/>
    <w:multiLevelType w:val="hybridMultilevel"/>
    <w:tmpl w:val="50FE9B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17"/>
  </w:num>
  <w:num w:numId="9">
    <w:abstractNumId w:val="18"/>
  </w:num>
  <w:num w:numId="10">
    <w:abstractNumId w:val="16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  <w:num w:numId="17">
    <w:abstractNumId w:val="15"/>
  </w:num>
  <w:num w:numId="18">
    <w:abstractNumId w:val="4"/>
  </w:num>
  <w:num w:numId="19">
    <w:abstractNumId w:val="20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7A8"/>
    <w:rsid w:val="000168D5"/>
    <w:rsid w:val="000241BF"/>
    <w:rsid w:val="000274B8"/>
    <w:rsid w:val="00034FC5"/>
    <w:rsid w:val="00056212"/>
    <w:rsid w:val="00081A77"/>
    <w:rsid w:val="00091ABD"/>
    <w:rsid w:val="00092321"/>
    <w:rsid w:val="000C1E5C"/>
    <w:rsid w:val="000C2ED5"/>
    <w:rsid w:val="000D0310"/>
    <w:rsid w:val="000D109F"/>
    <w:rsid w:val="000D7319"/>
    <w:rsid w:val="000E08FA"/>
    <w:rsid w:val="0011065E"/>
    <w:rsid w:val="00111E1A"/>
    <w:rsid w:val="0011641B"/>
    <w:rsid w:val="001352FF"/>
    <w:rsid w:val="00142697"/>
    <w:rsid w:val="00175388"/>
    <w:rsid w:val="00185109"/>
    <w:rsid w:val="00190E3F"/>
    <w:rsid w:val="00192BCC"/>
    <w:rsid w:val="001A5192"/>
    <w:rsid w:val="001B0079"/>
    <w:rsid w:val="001B6721"/>
    <w:rsid w:val="001C728B"/>
    <w:rsid w:val="001D736D"/>
    <w:rsid w:val="001D7D02"/>
    <w:rsid w:val="001E07ED"/>
    <w:rsid w:val="001F1052"/>
    <w:rsid w:val="00250604"/>
    <w:rsid w:val="002660A6"/>
    <w:rsid w:val="00271A7B"/>
    <w:rsid w:val="00293862"/>
    <w:rsid w:val="002B3B9A"/>
    <w:rsid w:val="0030174A"/>
    <w:rsid w:val="00315211"/>
    <w:rsid w:val="003157BC"/>
    <w:rsid w:val="0034479E"/>
    <w:rsid w:val="00346FF7"/>
    <w:rsid w:val="00365459"/>
    <w:rsid w:val="00365ADD"/>
    <w:rsid w:val="00375320"/>
    <w:rsid w:val="00384C5D"/>
    <w:rsid w:val="0039163C"/>
    <w:rsid w:val="003940FB"/>
    <w:rsid w:val="003A240F"/>
    <w:rsid w:val="003B465C"/>
    <w:rsid w:val="003C151A"/>
    <w:rsid w:val="003C5CC4"/>
    <w:rsid w:val="003D2832"/>
    <w:rsid w:val="003E4A79"/>
    <w:rsid w:val="003E7E31"/>
    <w:rsid w:val="003F4016"/>
    <w:rsid w:val="003F524C"/>
    <w:rsid w:val="0041225F"/>
    <w:rsid w:val="00432C0E"/>
    <w:rsid w:val="004634DD"/>
    <w:rsid w:val="00466A4E"/>
    <w:rsid w:val="00484D9E"/>
    <w:rsid w:val="004A0654"/>
    <w:rsid w:val="004A4DB2"/>
    <w:rsid w:val="004B4E64"/>
    <w:rsid w:val="004B566C"/>
    <w:rsid w:val="004D24DA"/>
    <w:rsid w:val="004F44B8"/>
    <w:rsid w:val="00522066"/>
    <w:rsid w:val="00530808"/>
    <w:rsid w:val="005638EB"/>
    <w:rsid w:val="005665DA"/>
    <w:rsid w:val="00571859"/>
    <w:rsid w:val="00587FB4"/>
    <w:rsid w:val="00596562"/>
    <w:rsid w:val="005E3479"/>
    <w:rsid w:val="005E4219"/>
    <w:rsid w:val="006076DB"/>
    <w:rsid w:val="00614CCD"/>
    <w:rsid w:val="00615C71"/>
    <w:rsid w:val="00651AD5"/>
    <w:rsid w:val="00654DBD"/>
    <w:rsid w:val="00665C7B"/>
    <w:rsid w:val="00667364"/>
    <w:rsid w:val="006822B1"/>
    <w:rsid w:val="006849A2"/>
    <w:rsid w:val="00690E1E"/>
    <w:rsid w:val="006B0CA8"/>
    <w:rsid w:val="006C225E"/>
    <w:rsid w:val="006F76B5"/>
    <w:rsid w:val="00702274"/>
    <w:rsid w:val="0074283D"/>
    <w:rsid w:val="00751B5D"/>
    <w:rsid w:val="007566E7"/>
    <w:rsid w:val="007721A4"/>
    <w:rsid w:val="007D0373"/>
    <w:rsid w:val="007D46B2"/>
    <w:rsid w:val="007D750D"/>
    <w:rsid w:val="00806935"/>
    <w:rsid w:val="00806A83"/>
    <w:rsid w:val="0081481E"/>
    <w:rsid w:val="00823D32"/>
    <w:rsid w:val="008327A8"/>
    <w:rsid w:val="00840159"/>
    <w:rsid w:val="00851082"/>
    <w:rsid w:val="00860A23"/>
    <w:rsid w:val="008775C4"/>
    <w:rsid w:val="00880D68"/>
    <w:rsid w:val="008A1E64"/>
    <w:rsid w:val="008B095F"/>
    <w:rsid w:val="008B28C4"/>
    <w:rsid w:val="008E5B33"/>
    <w:rsid w:val="008F1FB7"/>
    <w:rsid w:val="008F2B35"/>
    <w:rsid w:val="00924328"/>
    <w:rsid w:val="009244F3"/>
    <w:rsid w:val="009338A7"/>
    <w:rsid w:val="00960E57"/>
    <w:rsid w:val="00970807"/>
    <w:rsid w:val="00972D3F"/>
    <w:rsid w:val="00983611"/>
    <w:rsid w:val="009909F0"/>
    <w:rsid w:val="009916CF"/>
    <w:rsid w:val="009D3293"/>
    <w:rsid w:val="009E2D27"/>
    <w:rsid w:val="00A12118"/>
    <w:rsid w:val="00A1548A"/>
    <w:rsid w:val="00A32FA1"/>
    <w:rsid w:val="00A359EF"/>
    <w:rsid w:val="00A622AE"/>
    <w:rsid w:val="00A66F74"/>
    <w:rsid w:val="00A87F0E"/>
    <w:rsid w:val="00AA7923"/>
    <w:rsid w:val="00AC7043"/>
    <w:rsid w:val="00AE2C9F"/>
    <w:rsid w:val="00AF2BE2"/>
    <w:rsid w:val="00AF3267"/>
    <w:rsid w:val="00AF47FF"/>
    <w:rsid w:val="00B11608"/>
    <w:rsid w:val="00B12C50"/>
    <w:rsid w:val="00B13B27"/>
    <w:rsid w:val="00B16747"/>
    <w:rsid w:val="00B21E43"/>
    <w:rsid w:val="00B528D8"/>
    <w:rsid w:val="00B54E4C"/>
    <w:rsid w:val="00B640FD"/>
    <w:rsid w:val="00B64F08"/>
    <w:rsid w:val="00B81EF0"/>
    <w:rsid w:val="00B9544D"/>
    <w:rsid w:val="00B9742A"/>
    <w:rsid w:val="00BA0670"/>
    <w:rsid w:val="00BB1208"/>
    <w:rsid w:val="00BD2EAE"/>
    <w:rsid w:val="00BD7FE1"/>
    <w:rsid w:val="00BF6364"/>
    <w:rsid w:val="00C066E4"/>
    <w:rsid w:val="00C10526"/>
    <w:rsid w:val="00C219F2"/>
    <w:rsid w:val="00C21BA9"/>
    <w:rsid w:val="00C31F12"/>
    <w:rsid w:val="00C35135"/>
    <w:rsid w:val="00C5557F"/>
    <w:rsid w:val="00C55879"/>
    <w:rsid w:val="00C6579B"/>
    <w:rsid w:val="00C677B7"/>
    <w:rsid w:val="00C71A3A"/>
    <w:rsid w:val="00C72B91"/>
    <w:rsid w:val="00C77C91"/>
    <w:rsid w:val="00C82B8D"/>
    <w:rsid w:val="00C941AA"/>
    <w:rsid w:val="00CA7C9A"/>
    <w:rsid w:val="00CB047B"/>
    <w:rsid w:val="00CB2C2B"/>
    <w:rsid w:val="00CC3BF9"/>
    <w:rsid w:val="00CD5504"/>
    <w:rsid w:val="00CF1EE6"/>
    <w:rsid w:val="00CF3EAE"/>
    <w:rsid w:val="00D02358"/>
    <w:rsid w:val="00D05B19"/>
    <w:rsid w:val="00D55728"/>
    <w:rsid w:val="00D760FA"/>
    <w:rsid w:val="00D802E0"/>
    <w:rsid w:val="00DA4150"/>
    <w:rsid w:val="00DC2549"/>
    <w:rsid w:val="00DD28F7"/>
    <w:rsid w:val="00DD7926"/>
    <w:rsid w:val="00DF117E"/>
    <w:rsid w:val="00E371F6"/>
    <w:rsid w:val="00E4432A"/>
    <w:rsid w:val="00E51E68"/>
    <w:rsid w:val="00E855CE"/>
    <w:rsid w:val="00EA7245"/>
    <w:rsid w:val="00EC4F11"/>
    <w:rsid w:val="00F06423"/>
    <w:rsid w:val="00F24013"/>
    <w:rsid w:val="00F3411C"/>
    <w:rsid w:val="00F34897"/>
    <w:rsid w:val="00F60681"/>
    <w:rsid w:val="00F70A78"/>
    <w:rsid w:val="00F85170"/>
    <w:rsid w:val="00F90F30"/>
    <w:rsid w:val="00FB2F3E"/>
    <w:rsid w:val="00FC71DA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24B7BFDE-B1A5-4567-BE7F-8D81E1A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A8"/>
    <w:pPr>
      <w:ind w:left="720"/>
      <w:contextualSpacing/>
    </w:pPr>
  </w:style>
  <w:style w:type="paragraph" w:customStyle="1" w:styleId="AHPRAbody">
    <w:name w:val="AHPRA body"/>
    <w:basedOn w:val="Normal"/>
    <w:qFormat/>
    <w:rsid w:val="008327A8"/>
    <w:pPr>
      <w:spacing w:after="200"/>
    </w:pPr>
    <w:rPr>
      <w:rFonts w:ascii="Arial MT Lt" w:eastAsia="Cambria" w:hAnsi="Arial MT Lt"/>
      <w:sz w:val="20"/>
      <w:lang w:val="en-US"/>
    </w:rPr>
  </w:style>
  <w:style w:type="paragraph" w:customStyle="1" w:styleId="AHPRAHeadline">
    <w:name w:val="AHPRA Headline"/>
    <w:basedOn w:val="Normal"/>
    <w:qFormat/>
    <w:rsid w:val="008327A8"/>
    <w:pPr>
      <w:spacing w:after="200"/>
    </w:pPr>
    <w:rPr>
      <w:rFonts w:eastAsia="Cambria"/>
      <w:color w:val="008EC4"/>
      <w:sz w:val="28"/>
      <w:lang w:val="en-US"/>
    </w:rPr>
  </w:style>
  <w:style w:type="paragraph" w:customStyle="1" w:styleId="AHPRASubhead">
    <w:name w:val="AHPRA Subhead"/>
    <w:basedOn w:val="Normal"/>
    <w:qFormat/>
    <w:rsid w:val="008327A8"/>
    <w:pPr>
      <w:spacing w:after="200"/>
    </w:pPr>
    <w:rPr>
      <w:rFonts w:eastAsia="Cambria"/>
      <w:b/>
      <w:color w:val="008EC4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2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5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5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A2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A23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F90F30"/>
    <w:rPr>
      <w:rFonts w:cs="Arial"/>
      <w:color w:val="000000"/>
      <w:lang w:eastAsia="en-AU"/>
    </w:rPr>
  </w:style>
  <w:style w:type="paragraph" w:customStyle="1" w:styleId="AHPRASubheadinglevel2">
    <w:name w:val="AHPRA Subheading level 2"/>
    <w:basedOn w:val="Normal"/>
    <w:next w:val="Normal"/>
    <w:qFormat/>
    <w:rsid w:val="00F60681"/>
    <w:pPr>
      <w:spacing w:before="200" w:after="200"/>
    </w:pPr>
    <w:rPr>
      <w:rFonts w:eastAsia="Cambria"/>
      <w:b/>
      <w:sz w:val="20"/>
      <w:lang w:val="en-US"/>
    </w:rPr>
  </w:style>
  <w:style w:type="paragraph" w:customStyle="1" w:styleId="AHPRAfirstpagefooter">
    <w:name w:val="AHPRA first page footer"/>
    <w:basedOn w:val="Normal"/>
    <w:rsid w:val="00F60681"/>
    <w:pPr>
      <w:jc w:val="center"/>
    </w:pPr>
    <w:rPr>
      <w:rFonts w:eastAsia="Cambria" w:cs="Arial"/>
      <w:b/>
      <w:color w:val="5F6062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D7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98E2-1D89-43D6-B1D8-468A36EE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standard for specialist registration for the podiatry specialty of podiatric surgery</dc:title>
  <dc:subject>Registration standard</dc:subject>
  <dc:creator>Podiatry Board</dc:creator>
  <cp:lastModifiedBy>Gareth Meade</cp:lastModifiedBy>
  <cp:revision>2</cp:revision>
  <cp:lastPrinted>2011-11-30T02:39:00Z</cp:lastPrinted>
  <dcterms:created xsi:type="dcterms:W3CDTF">2014-12-15T03:16:00Z</dcterms:created>
  <dcterms:modified xsi:type="dcterms:W3CDTF">2014-12-15T03:16:00Z</dcterms:modified>
</cp:coreProperties>
</file>