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32" w:rsidRPr="00B00469" w:rsidRDefault="0037794D" w:rsidP="00105132">
      <w:pPr>
        <w:pStyle w:val="AHPRADocumenttitle"/>
      </w:pPr>
      <w:bookmarkStart w:id="0" w:name="_GoBack"/>
      <w:bookmarkEnd w:id="0"/>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75.6pt;margin-top:38.5pt;width:51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d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vn+WwC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"/>
        </w:pict>
      </w:r>
      <w:r w:rsidR="00105132" w:rsidRPr="00ED5D61">
        <w:t xml:space="preserve">Registration standard: Endorsement for scheduled medicines </w:t>
      </w:r>
    </w:p>
    <w:p w:rsidR="00105132" w:rsidRDefault="00105132" w:rsidP="00105132">
      <w:pPr>
        <w:pStyle w:val="AHPRASubheading"/>
      </w:pPr>
    </w:p>
    <w:p w:rsidR="00105132" w:rsidRPr="00423F39" w:rsidRDefault="00105132" w:rsidP="00105132">
      <w:pPr>
        <w:pStyle w:val="AHPRASubheading"/>
      </w:pPr>
      <w:r w:rsidRPr="00423F39">
        <w:t>Effective from:</w:t>
      </w:r>
      <w:r w:rsidRPr="00423F39">
        <w:tab/>
      </w:r>
      <w:r w:rsidR="00B40E32">
        <w:rPr>
          <w:b w:val="0"/>
          <w:color w:val="auto"/>
        </w:rPr>
        <w:t>1 August 2018</w:t>
      </w:r>
    </w:p>
    <w:p w:rsidR="00105132" w:rsidRDefault="00105132" w:rsidP="00105132">
      <w:pPr>
        <w:pStyle w:val="AHPRAbody"/>
        <w:rPr>
          <w:b/>
        </w:rPr>
      </w:pPr>
      <w:r w:rsidRPr="000A6CAD">
        <w:t>This registration</w:t>
      </w:r>
      <w:r w:rsidR="008634AC">
        <w:t xml:space="preserve"> standard</w:t>
      </w:r>
      <w:r w:rsidRPr="000A6CAD">
        <w:t xml:space="preserve"> describes the Podiatry Board of Australia’s (the Board) minimum requirements for a podiatrist or podiatric surgeon to have their registration endorsed for scheduled medicines under</w:t>
      </w:r>
      <w:r>
        <w:t xml:space="preserve"> section 94 of the </w:t>
      </w:r>
      <w:r w:rsidRPr="009E23ED">
        <w:rPr>
          <w:b/>
        </w:rPr>
        <w:t>National Law</w:t>
      </w:r>
      <w:r>
        <w:rPr>
          <w:rStyle w:val="FootnoteReference"/>
        </w:rPr>
        <w:footnoteReference w:id="1"/>
      </w:r>
      <w:r w:rsidRPr="000A6CAD">
        <w:t xml:space="preserve">, the scope of the endorsement, and what the Board expects of practitioners with this type of endorsement. </w:t>
      </w:r>
    </w:p>
    <w:p w:rsidR="00105132" w:rsidRPr="00410FCF" w:rsidRDefault="00105132" w:rsidP="00105132">
      <w:pPr>
        <w:pStyle w:val="AHPRASubheading"/>
      </w:pPr>
      <w:r w:rsidRPr="00410FCF">
        <w:t>Does this standard apply to me?</w:t>
      </w:r>
    </w:p>
    <w:p w:rsidR="00105132" w:rsidRDefault="00105132" w:rsidP="00105132">
      <w:pPr>
        <w:pStyle w:val="AHPRAbody"/>
        <w:rPr>
          <w:b/>
        </w:rPr>
      </w:pPr>
      <w:r w:rsidRPr="000A6CAD">
        <w:t>This registration standard applies to all podiatrists and podiatric surgeons:</w:t>
      </w:r>
    </w:p>
    <w:p w:rsidR="00834431" w:rsidRDefault="00105132" w:rsidP="00834431">
      <w:pPr>
        <w:pStyle w:val="AHPRABulletlevel1"/>
        <w:spacing w:after="200"/>
      </w:pPr>
      <w:r w:rsidRPr="00ED5D61">
        <w:t xml:space="preserve">applying to have their registration endorsed for scheduled medicines under section 94 of the </w:t>
      </w:r>
      <w:r w:rsidRPr="00955B70">
        <w:rPr>
          <w:b/>
        </w:rPr>
        <w:t>National Law</w:t>
      </w:r>
      <w:r w:rsidRPr="00ED5D61">
        <w:t>, or</w:t>
      </w:r>
    </w:p>
    <w:p w:rsidR="00105132" w:rsidRPr="000A6CAD" w:rsidRDefault="00105132" w:rsidP="001203B9">
      <w:pPr>
        <w:pStyle w:val="AHPRABulletlevel1last"/>
      </w:pPr>
      <w:proofErr w:type="gramStart"/>
      <w:r w:rsidRPr="00ED5D61">
        <w:t>whose</w:t>
      </w:r>
      <w:proofErr w:type="gramEnd"/>
      <w:r w:rsidRPr="00ED5D61">
        <w:t xml:space="preserve"> registration is endorsed for scheduled medicines</w:t>
      </w:r>
      <w:r>
        <w:t>.</w:t>
      </w:r>
    </w:p>
    <w:p w:rsidR="00105132" w:rsidRPr="00410FCF" w:rsidRDefault="00105132" w:rsidP="00105132">
      <w:pPr>
        <w:pStyle w:val="AHPRASubheading"/>
      </w:pPr>
      <w:r w:rsidRPr="00410FCF">
        <w:t>Scope of endorsement</w:t>
      </w:r>
    </w:p>
    <w:p w:rsidR="00105132" w:rsidRDefault="00105132" w:rsidP="00105132">
      <w:pPr>
        <w:pStyle w:val="AHPRAbody"/>
      </w:pPr>
      <w:r w:rsidRPr="000A6CAD">
        <w:t xml:space="preserve">A podiatrist or podiatric surgeon whose registration is endorsed for scheduled medicines </w:t>
      </w:r>
      <w:r>
        <w:t xml:space="preserve">under section 94 of the </w:t>
      </w:r>
      <w:r w:rsidRPr="00CC58B6">
        <w:rPr>
          <w:b/>
        </w:rPr>
        <w:t>National Law</w:t>
      </w:r>
      <w:r>
        <w:t xml:space="preserve"> </w:t>
      </w:r>
      <w:r w:rsidRPr="000A6CAD">
        <w:t xml:space="preserve">is qualified to administer, obtain, possess, prescribe, sell, supply or use Schedule 2, 3, 4 or 8 medicines for the treatment of podiatric conditions, included in the </w:t>
      </w:r>
      <w:r w:rsidRPr="000A6CAD">
        <w:rPr>
          <w:i/>
        </w:rPr>
        <w:t>National podiatry scheduled medicines list</w:t>
      </w:r>
      <w:r w:rsidRPr="000A6CAD">
        <w:t>.</w:t>
      </w:r>
      <w:r>
        <w:rPr>
          <w:rStyle w:val="FootnoteReference"/>
        </w:rPr>
        <w:footnoteReference w:id="2"/>
      </w:r>
    </w:p>
    <w:p w:rsidR="00105132" w:rsidRPr="00410FCF" w:rsidRDefault="00105132" w:rsidP="00105132">
      <w:pPr>
        <w:pStyle w:val="AHPRASubheading"/>
      </w:pPr>
      <w:r>
        <w:t>What must I do?</w:t>
      </w:r>
    </w:p>
    <w:p w:rsidR="00105132" w:rsidRDefault="00105132" w:rsidP="00105132">
      <w:pPr>
        <w:pStyle w:val="AHPRAbody"/>
      </w:pPr>
      <w:r>
        <w:t>To demonstrate that you are eligible to apply for endorsement for scheduled medicines you must provide evidence that you meet the requirements of one of the following pathways:</w:t>
      </w:r>
    </w:p>
    <w:p w:rsidR="00834431" w:rsidRDefault="00105132" w:rsidP="00834431">
      <w:pPr>
        <w:pStyle w:val="AHPRASubheading"/>
        <w:ind w:left="369" w:hanging="369"/>
      </w:pPr>
      <w:proofErr w:type="gramStart"/>
      <w:r w:rsidRPr="00133682">
        <w:t>1.</w:t>
      </w:r>
      <w:r w:rsidRPr="00133682">
        <w:tab/>
        <w:t xml:space="preserve">Pathway </w:t>
      </w:r>
      <w:r w:rsidR="002739E5">
        <w:t>A</w:t>
      </w:r>
      <w:r w:rsidR="008B572A">
        <w:tab/>
      </w:r>
      <w:r w:rsidR="008B572A">
        <w:tab/>
      </w:r>
      <w:r w:rsidRPr="00133682">
        <w:t>Approved</w:t>
      </w:r>
      <w:proofErr w:type="gramEnd"/>
      <w:r w:rsidRPr="00133682">
        <w:t xml:space="preserve"> qualification pathway</w:t>
      </w:r>
    </w:p>
    <w:p w:rsidR="00834431" w:rsidRDefault="00DD31D4" w:rsidP="00834431">
      <w:pPr>
        <w:pStyle w:val="AHPRAbody"/>
        <w:ind w:left="454" w:hanging="454"/>
      </w:pPr>
      <w:r w:rsidRPr="00DD31D4">
        <w:rPr>
          <w:b/>
        </w:rPr>
        <w:t>1.1</w:t>
      </w:r>
      <w:r>
        <w:tab/>
      </w:r>
      <w:r w:rsidR="00105132">
        <w:t>To meet the requirements for this pathway you must provide evidence that you hold one of the following qualifications:</w:t>
      </w:r>
    </w:p>
    <w:p w:rsidR="00834431" w:rsidRDefault="00105132" w:rsidP="00834431">
      <w:pPr>
        <w:pStyle w:val="ListNumber"/>
        <w:numPr>
          <w:ilvl w:val="0"/>
          <w:numId w:val="2"/>
        </w:numPr>
        <w:ind w:left="823" w:hanging="369"/>
      </w:pPr>
      <w:r>
        <w:t xml:space="preserve">an </w:t>
      </w:r>
      <w:r w:rsidRPr="00CD0590">
        <w:rPr>
          <w:b/>
        </w:rPr>
        <w:t>approved qualification for endorsement for scheduled medicines</w:t>
      </w:r>
      <w:r w:rsidRPr="00910419">
        <w:t>,</w:t>
      </w:r>
      <w:r>
        <w:t xml:space="preserve"> or</w:t>
      </w:r>
    </w:p>
    <w:p w:rsidR="00834431" w:rsidRDefault="00105132" w:rsidP="00834431">
      <w:pPr>
        <w:pStyle w:val="ListNumber"/>
        <w:numPr>
          <w:ilvl w:val="0"/>
          <w:numId w:val="2"/>
        </w:numPr>
        <w:ind w:left="823" w:hanging="369"/>
      </w:pPr>
      <w:r>
        <w:t xml:space="preserve">another qualification that the Board considers to be substantially equivalent to, or based on similar competencies to, an </w:t>
      </w:r>
      <w:r w:rsidRPr="0015577B">
        <w:rPr>
          <w:b/>
        </w:rPr>
        <w:t>approved qualification for endorsement for scheduled medicines</w:t>
      </w:r>
      <w:r>
        <w:t>.</w:t>
      </w:r>
    </w:p>
    <w:p w:rsidR="00834431" w:rsidRDefault="00DD31D4" w:rsidP="00834431">
      <w:pPr>
        <w:pStyle w:val="AHPRAbody"/>
        <w:ind w:left="454" w:hanging="454"/>
      </w:pPr>
      <w:r w:rsidRPr="00DD31D4">
        <w:rPr>
          <w:b/>
        </w:rPr>
        <w:lastRenderedPageBreak/>
        <w:t>1.2</w:t>
      </w:r>
      <w:r>
        <w:tab/>
      </w:r>
      <w:r w:rsidR="00E51279" w:rsidRPr="008203D6">
        <w:t xml:space="preserve">The Board’s </w:t>
      </w:r>
      <w:r w:rsidR="00E51279" w:rsidRPr="008203D6">
        <w:rPr>
          <w:i/>
        </w:rPr>
        <w:t xml:space="preserve">Registration standard: </w:t>
      </w:r>
      <w:proofErr w:type="spellStart"/>
      <w:r w:rsidR="00E51279" w:rsidRPr="008203D6">
        <w:rPr>
          <w:i/>
        </w:rPr>
        <w:t>Recency</w:t>
      </w:r>
      <w:proofErr w:type="spellEnd"/>
      <w:r w:rsidR="00E51279" w:rsidRPr="008203D6">
        <w:rPr>
          <w:i/>
        </w:rPr>
        <w:t xml:space="preserve"> of practice</w:t>
      </w:r>
      <w:r w:rsidR="00E51279" w:rsidRPr="008203D6">
        <w:t xml:space="preserve"> </w:t>
      </w:r>
      <w:r w:rsidR="00BE203B" w:rsidRPr="008203D6">
        <w:t xml:space="preserve">will apply to your application for </w:t>
      </w:r>
      <w:r w:rsidR="00E51279" w:rsidRPr="008203D6">
        <w:t xml:space="preserve">endorsement for scheduled medicines under this pathway unless you are a </w:t>
      </w:r>
      <w:r w:rsidR="00E51279" w:rsidRPr="008203D6">
        <w:rPr>
          <w:b/>
        </w:rPr>
        <w:t xml:space="preserve">recent graduate </w:t>
      </w:r>
      <w:r w:rsidR="00E51279" w:rsidRPr="008203D6">
        <w:t>as defined in this registration standard.</w:t>
      </w:r>
    </w:p>
    <w:p w:rsidR="00834431" w:rsidRDefault="00105132" w:rsidP="00834431">
      <w:pPr>
        <w:pStyle w:val="AHPRASubheading"/>
        <w:ind w:left="369" w:hanging="369"/>
      </w:pPr>
      <w:r>
        <w:t>2.</w:t>
      </w:r>
      <w:r>
        <w:tab/>
        <w:t xml:space="preserve">Pathway </w:t>
      </w:r>
      <w:r w:rsidR="002739E5">
        <w:t>B</w:t>
      </w:r>
      <w:r w:rsidR="008B572A">
        <w:tab/>
      </w:r>
      <w:r w:rsidR="008B572A">
        <w:tab/>
      </w:r>
      <w:r>
        <w:t>Supervised practice pathway for registered practitioners</w:t>
      </w:r>
    </w:p>
    <w:p w:rsidR="00105132" w:rsidRDefault="00105132" w:rsidP="00105132">
      <w:pPr>
        <w:pStyle w:val="AHPRAbody"/>
      </w:pPr>
      <w:r>
        <w:t>To meet the requirements of this pathway you must provide evidence that you have successfully completed four (4) key components:</w:t>
      </w:r>
    </w:p>
    <w:p w:rsidR="00834431" w:rsidRDefault="00105132" w:rsidP="00834431">
      <w:pPr>
        <w:pStyle w:val="AHPRABulletlevel1last"/>
        <w:ind w:left="369" w:hanging="369"/>
      </w:pPr>
      <w:r>
        <w:t>qualification</w:t>
      </w:r>
    </w:p>
    <w:p w:rsidR="00834431" w:rsidRDefault="00105132" w:rsidP="00834431">
      <w:pPr>
        <w:pStyle w:val="AHPRABulletlevel1last"/>
        <w:ind w:left="369" w:hanging="369"/>
      </w:pPr>
      <w:r>
        <w:t>online case studies</w:t>
      </w:r>
    </w:p>
    <w:p w:rsidR="00834431" w:rsidRDefault="00105132" w:rsidP="00834431">
      <w:pPr>
        <w:pStyle w:val="AHPRABulletlevel1last"/>
        <w:ind w:left="369" w:hanging="369"/>
      </w:pPr>
      <w:r w:rsidRPr="00297B44">
        <w:rPr>
          <w:b/>
        </w:rPr>
        <w:t>supervised practice</w:t>
      </w:r>
      <w:r>
        <w:t>, and</w:t>
      </w:r>
    </w:p>
    <w:p w:rsidR="00834431" w:rsidRDefault="00105132" w:rsidP="00834431">
      <w:pPr>
        <w:pStyle w:val="AHPRABulletlevel1last"/>
        <w:ind w:left="369" w:hanging="369"/>
      </w:pPr>
      <w:proofErr w:type="gramStart"/>
      <w:r>
        <w:t>portfolio</w:t>
      </w:r>
      <w:proofErr w:type="gramEnd"/>
      <w:r>
        <w:t xml:space="preserve"> of evidence.</w:t>
      </w:r>
    </w:p>
    <w:p w:rsidR="00105132" w:rsidRDefault="00105132" w:rsidP="00105132">
      <w:pPr>
        <w:pStyle w:val="AHPRAbody"/>
      </w:pPr>
      <w:r>
        <w:t>The requirements of these key components are described in 2.1 to 2.4 below.</w:t>
      </w:r>
    </w:p>
    <w:p w:rsidR="00105132" w:rsidRDefault="00105132" w:rsidP="00105132">
      <w:pPr>
        <w:pStyle w:val="AHPRAbody"/>
      </w:pPr>
      <w:r>
        <w:t xml:space="preserve">There are progress steps you must complete before commencing your period of </w:t>
      </w:r>
      <w:r w:rsidRPr="0015577B">
        <w:rPr>
          <w:b/>
        </w:rPr>
        <w:t>supervised practice</w:t>
      </w:r>
      <w:r>
        <w:t xml:space="preserve"> (see 2.3.2 below) and during your period of </w:t>
      </w:r>
      <w:r w:rsidRPr="0015577B">
        <w:rPr>
          <w:b/>
        </w:rPr>
        <w:t>supervised practice</w:t>
      </w:r>
      <w:r>
        <w:t xml:space="preserve"> (see 2.5 below).</w:t>
      </w:r>
    </w:p>
    <w:p w:rsidR="00834431" w:rsidRDefault="00105132" w:rsidP="00834431">
      <w:pPr>
        <w:pStyle w:val="AHPRASubheadinglevel2"/>
        <w:ind w:left="369" w:hanging="369"/>
      </w:pPr>
      <w:r>
        <w:t>2.1</w:t>
      </w:r>
      <w:r>
        <w:tab/>
      </w:r>
      <w:r w:rsidRPr="0004429F">
        <w:t>Qualification</w:t>
      </w:r>
    </w:p>
    <w:p w:rsidR="00105132" w:rsidRDefault="00105132" w:rsidP="00105132">
      <w:pPr>
        <w:pStyle w:val="AHPRAbody"/>
      </w:pPr>
      <w:r>
        <w:t>You must provide evidence that you hold one of the following qualifications:</w:t>
      </w:r>
    </w:p>
    <w:p w:rsidR="00834431" w:rsidRDefault="00105132" w:rsidP="00834431">
      <w:pPr>
        <w:pStyle w:val="ListNumber"/>
        <w:numPr>
          <w:ilvl w:val="0"/>
          <w:numId w:val="3"/>
        </w:numPr>
        <w:ind w:left="369" w:hanging="369"/>
      </w:pPr>
      <w:r>
        <w:t xml:space="preserve">an </w:t>
      </w:r>
      <w:r w:rsidRPr="00910419">
        <w:rPr>
          <w:b/>
        </w:rPr>
        <w:t>approved qualification in podiatric therapeutics</w:t>
      </w:r>
      <w:r w:rsidRPr="00910419">
        <w:t>,</w:t>
      </w:r>
      <w:r>
        <w:t xml:space="preserve"> or</w:t>
      </w:r>
    </w:p>
    <w:p w:rsidR="00834431" w:rsidRDefault="00105132" w:rsidP="00834431">
      <w:pPr>
        <w:pStyle w:val="ListNumber"/>
        <w:numPr>
          <w:ilvl w:val="0"/>
          <w:numId w:val="3"/>
        </w:numPr>
        <w:ind w:left="369" w:hanging="369"/>
      </w:pPr>
      <w:r>
        <w:t xml:space="preserve">another qualification that the Board considers to be substantially equivalent to, or based on similar competencies to, an </w:t>
      </w:r>
      <w:r w:rsidRPr="0015577B">
        <w:rPr>
          <w:b/>
        </w:rPr>
        <w:t>approved qualification in podiatric therapeutics</w:t>
      </w:r>
      <w:r>
        <w:t>.</w:t>
      </w:r>
    </w:p>
    <w:p w:rsidR="00105132" w:rsidRDefault="00105132" w:rsidP="00105132">
      <w:pPr>
        <w:pStyle w:val="AHPRAbody"/>
      </w:pPr>
      <w:r>
        <w:t xml:space="preserve">The qualification must be current (not more than seven years old) at the time of applying to the Board to commence </w:t>
      </w:r>
      <w:r w:rsidRPr="0015577B">
        <w:rPr>
          <w:b/>
        </w:rPr>
        <w:t>supervised practice</w:t>
      </w:r>
      <w:r>
        <w:t xml:space="preserve"> (see 2.3.2 below).</w:t>
      </w:r>
    </w:p>
    <w:p w:rsidR="00834431" w:rsidRDefault="00105132" w:rsidP="00834431">
      <w:pPr>
        <w:pStyle w:val="AHPRASubheadinglevel2"/>
        <w:ind w:left="369" w:hanging="369"/>
      </w:pPr>
      <w:r>
        <w:t>2.2</w:t>
      </w:r>
      <w:r>
        <w:tab/>
        <w:t>Online case studies</w:t>
      </w:r>
    </w:p>
    <w:p w:rsidR="00105132" w:rsidRDefault="00105132" w:rsidP="00105132">
      <w:pPr>
        <w:pStyle w:val="AHPRAbody"/>
      </w:pPr>
      <w:r>
        <w:t xml:space="preserve">You must provide evidence that you have successfully completed 15 </w:t>
      </w:r>
      <w:r w:rsidRPr="000330FE">
        <w:rPr>
          <w:b/>
        </w:rPr>
        <w:t>a</w:t>
      </w:r>
      <w:r w:rsidRPr="00CD0590">
        <w:rPr>
          <w:b/>
        </w:rPr>
        <w:t>pproved online case studies</w:t>
      </w:r>
      <w:r>
        <w:t xml:space="preserve">. </w:t>
      </w:r>
    </w:p>
    <w:p w:rsidR="00105132" w:rsidRDefault="00105132" w:rsidP="00105132">
      <w:pPr>
        <w:pStyle w:val="AHPRAbody"/>
      </w:pPr>
      <w:r>
        <w:t xml:space="preserve">The </w:t>
      </w:r>
      <w:r w:rsidR="00957454" w:rsidRPr="00957454">
        <w:rPr>
          <w:b/>
        </w:rPr>
        <w:t xml:space="preserve">approved </w:t>
      </w:r>
      <w:r w:rsidRPr="00957454">
        <w:rPr>
          <w:b/>
        </w:rPr>
        <w:t>online case studies</w:t>
      </w:r>
      <w:r>
        <w:t xml:space="preserve"> must be completed after you have obtained your </w:t>
      </w:r>
      <w:r w:rsidRPr="0015577B">
        <w:rPr>
          <w:b/>
        </w:rPr>
        <w:t>approved qualification in podiatric therapeutics</w:t>
      </w:r>
      <w:r>
        <w:t xml:space="preserve"> (or equivalent), and not more than three years prior to first applying for endorsement for scheduled medicines.</w:t>
      </w:r>
    </w:p>
    <w:p w:rsidR="00834431" w:rsidRDefault="00105132" w:rsidP="00834431">
      <w:pPr>
        <w:pStyle w:val="AHPRASubheadinglevel2"/>
        <w:ind w:left="369" w:hanging="369"/>
      </w:pPr>
      <w:r>
        <w:t>2.3</w:t>
      </w:r>
      <w:r>
        <w:tab/>
        <w:t>Supervised practice</w:t>
      </w:r>
    </w:p>
    <w:p w:rsidR="00834431" w:rsidRDefault="00105132" w:rsidP="00834431">
      <w:pPr>
        <w:pStyle w:val="AHPRAbody"/>
        <w:tabs>
          <w:tab w:val="left" w:pos="709"/>
        </w:tabs>
        <w:ind w:left="567" w:hanging="567"/>
      </w:pPr>
      <w:r>
        <w:t>2.3.1</w:t>
      </w:r>
      <w:r>
        <w:tab/>
        <w:t xml:space="preserve">You must complete a period of </w:t>
      </w:r>
      <w:r w:rsidRPr="00CD0590">
        <w:rPr>
          <w:b/>
        </w:rPr>
        <w:t>supervised practice</w:t>
      </w:r>
      <w:r>
        <w:t xml:space="preserve"> in Australia that:</w:t>
      </w:r>
    </w:p>
    <w:p w:rsidR="00834431" w:rsidRDefault="00105132" w:rsidP="00834431">
      <w:pPr>
        <w:pStyle w:val="ListNumber"/>
        <w:numPr>
          <w:ilvl w:val="0"/>
          <w:numId w:val="4"/>
        </w:numPr>
        <w:ind w:left="936" w:hanging="369"/>
      </w:pPr>
      <w:r>
        <w:t xml:space="preserve">involves learning through observation, experience, discussion and reflection in a range of prescribing environments as described </w:t>
      </w:r>
      <w:r w:rsidR="00E661EE">
        <w:t xml:space="preserve">in the </w:t>
      </w:r>
      <w:r>
        <w:t xml:space="preserve">Board’s </w:t>
      </w:r>
      <w:r w:rsidR="006527A0" w:rsidRPr="006527A0">
        <w:rPr>
          <w:i/>
        </w:rPr>
        <w:t>Guidelines: Endorsement for scheduled medicines</w:t>
      </w:r>
      <w:r w:rsidR="006527A0" w:rsidRPr="006527A0">
        <w:t xml:space="preserve"> </w:t>
      </w:r>
      <w:r w:rsidR="006527A0">
        <w:t>(</w:t>
      </w:r>
      <w:r>
        <w:t>ESM guidelines</w:t>
      </w:r>
      <w:r w:rsidR="006527A0">
        <w:t>)</w:t>
      </w:r>
    </w:p>
    <w:p w:rsidR="00834431" w:rsidRDefault="00105132" w:rsidP="00834431">
      <w:pPr>
        <w:pStyle w:val="ListNumber"/>
        <w:numPr>
          <w:ilvl w:val="0"/>
          <w:numId w:val="4"/>
        </w:numPr>
        <w:ind w:left="936" w:hanging="369"/>
      </w:pPr>
      <w:r>
        <w:t>is undertaken over a minimum of 150 hours within a 12-month period</w:t>
      </w:r>
      <w:r w:rsidR="00E661EE">
        <w:t xml:space="preserve"> </w:t>
      </w:r>
    </w:p>
    <w:p w:rsidR="00834431" w:rsidRDefault="00105132" w:rsidP="00834431">
      <w:pPr>
        <w:pStyle w:val="ListNumber"/>
        <w:numPr>
          <w:ilvl w:val="0"/>
          <w:numId w:val="4"/>
        </w:numPr>
        <w:ind w:left="936" w:hanging="369"/>
      </w:pPr>
      <w:r>
        <w:t xml:space="preserve">is under the guidance of a mentor who meets the Board’s requirements for a mentor as described in the ESM guidelines and with whom you have a signed mentor agreement in place before you commence your period of </w:t>
      </w:r>
      <w:r w:rsidRPr="0015577B">
        <w:rPr>
          <w:b/>
        </w:rPr>
        <w:t>supervised practice</w:t>
      </w:r>
      <w:r>
        <w:t>, and</w:t>
      </w:r>
    </w:p>
    <w:p w:rsidR="00834431" w:rsidRDefault="00105132" w:rsidP="00834431">
      <w:pPr>
        <w:pStyle w:val="ListNumber"/>
        <w:numPr>
          <w:ilvl w:val="0"/>
          <w:numId w:val="4"/>
        </w:numPr>
        <w:ind w:left="936" w:hanging="369"/>
      </w:pPr>
      <w:r>
        <w:t xml:space="preserve">includes preparing a portfolio of evidence (as described in 2.4 below) and submitting the items of evidence from the portfolio as required by this registration standard and the ESM Guidelines. </w:t>
      </w:r>
    </w:p>
    <w:p w:rsidR="00834431" w:rsidRDefault="00105132" w:rsidP="00834431">
      <w:pPr>
        <w:pStyle w:val="AHPRAbody"/>
        <w:tabs>
          <w:tab w:val="left" w:pos="709"/>
        </w:tabs>
        <w:ind w:left="567" w:hanging="567"/>
      </w:pPr>
      <w:r>
        <w:lastRenderedPageBreak/>
        <w:t>2.3.2</w:t>
      </w:r>
      <w:r>
        <w:tab/>
        <w:t xml:space="preserve">Before you commence your period of </w:t>
      </w:r>
      <w:r w:rsidRPr="00EC5D10">
        <w:rPr>
          <w:b/>
        </w:rPr>
        <w:t>supervised practice</w:t>
      </w:r>
      <w:r>
        <w:t xml:space="preserve"> you must:</w:t>
      </w:r>
    </w:p>
    <w:p w:rsidR="00834431" w:rsidRDefault="00105132" w:rsidP="00834431">
      <w:pPr>
        <w:pStyle w:val="ListNumber"/>
        <w:numPr>
          <w:ilvl w:val="0"/>
          <w:numId w:val="5"/>
        </w:numPr>
        <w:ind w:left="936" w:hanging="369"/>
      </w:pPr>
      <w:r>
        <w:t>be registered as a podiatrist or podiatric surgeon in Australia, and</w:t>
      </w:r>
    </w:p>
    <w:p w:rsidR="00834431" w:rsidRDefault="00105132" w:rsidP="00834431">
      <w:pPr>
        <w:pStyle w:val="ListNumber"/>
        <w:numPr>
          <w:ilvl w:val="0"/>
          <w:numId w:val="5"/>
        </w:numPr>
        <w:ind w:left="936" w:hanging="369"/>
        <w:rPr>
          <w:b/>
        </w:rPr>
      </w:pPr>
      <w:r>
        <w:t xml:space="preserve">apply to the Board to commence </w:t>
      </w:r>
      <w:r w:rsidRPr="00EC5D10">
        <w:rPr>
          <w:b/>
        </w:rPr>
        <w:t>supervised practice</w:t>
      </w:r>
      <w:r>
        <w:t xml:space="preserve"> in accordance with the procedure described in the ESM Guidelines. This includes submitting the documents described in the ESM Guidelines to demonstrate you have the prerequisites to undertake </w:t>
      </w:r>
      <w:r w:rsidRPr="00EC5D10">
        <w:rPr>
          <w:b/>
        </w:rPr>
        <w:t xml:space="preserve">supervised practice. </w:t>
      </w:r>
    </w:p>
    <w:p w:rsidR="00834431" w:rsidRDefault="00105132" w:rsidP="00834431">
      <w:pPr>
        <w:pStyle w:val="AHPRAbody"/>
        <w:tabs>
          <w:tab w:val="left" w:pos="709"/>
        </w:tabs>
        <w:ind w:left="567" w:hanging="567"/>
      </w:pPr>
      <w:r>
        <w:t>2.3.3</w:t>
      </w:r>
      <w:r>
        <w:tab/>
        <w:t xml:space="preserve">You must not commence your period of </w:t>
      </w:r>
      <w:r w:rsidRPr="00EC5D10">
        <w:rPr>
          <w:b/>
        </w:rPr>
        <w:t>supervised practice</w:t>
      </w:r>
      <w:r>
        <w:t xml:space="preserve"> until you have been advised in writing that the Board is satisfied you have met the prerequisites for </w:t>
      </w:r>
      <w:r w:rsidRPr="00EC5D10">
        <w:rPr>
          <w:b/>
        </w:rPr>
        <w:t>supervised practice</w:t>
      </w:r>
      <w:r>
        <w:t>.</w:t>
      </w:r>
    </w:p>
    <w:p w:rsidR="00834431" w:rsidRDefault="00105132" w:rsidP="00834431">
      <w:pPr>
        <w:pStyle w:val="AHPRAbody"/>
        <w:tabs>
          <w:tab w:val="left" w:pos="709"/>
        </w:tabs>
        <w:ind w:left="567" w:hanging="567"/>
      </w:pPr>
      <w:r>
        <w:t>2.3.4</w:t>
      </w:r>
      <w:r>
        <w:tab/>
        <w:t xml:space="preserve">The period of </w:t>
      </w:r>
      <w:r w:rsidRPr="0015577B">
        <w:rPr>
          <w:b/>
        </w:rPr>
        <w:t>supervised practice</w:t>
      </w:r>
      <w:r>
        <w:t xml:space="preserve"> must be completed within 12 months of the date that you are advised in writing that you have met the prerequisites for </w:t>
      </w:r>
      <w:r w:rsidRPr="0015577B">
        <w:rPr>
          <w:b/>
        </w:rPr>
        <w:t>supervised practice</w:t>
      </w:r>
      <w:r>
        <w:t>.</w:t>
      </w:r>
    </w:p>
    <w:p w:rsidR="00105132" w:rsidRDefault="00105132" w:rsidP="00105132">
      <w:pPr>
        <w:pStyle w:val="AHPRAbody"/>
        <w:tabs>
          <w:tab w:val="left" w:pos="709"/>
        </w:tabs>
        <w:ind w:left="709" w:hanging="709"/>
      </w:pPr>
      <w:r>
        <w:t xml:space="preserve">Further information about the requirements for </w:t>
      </w:r>
      <w:r w:rsidRPr="0015577B">
        <w:rPr>
          <w:b/>
        </w:rPr>
        <w:t>supervised practice</w:t>
      </w:r>
      <w:r>
        <w:t xml:space="preserve"> is in the ESM Guidelines. </w:t>
      </w:r>
    </w:p>
    <w:p w:rsidR="00834431" w:rsidRDefault="00105132" w:rsidP="00834431">
      <w:pPr>
        <w:pStyle w:val="AHPRASubheadinglevel2"/>
        <w:ind w:left="369" w:hanging="369"/>
      </w:pPr>
      <w:r>
        <w:t>2.4</w:t>
      </w:r>
      <w:r>
        <w:tab/>
      </w:r>
      <w:r w:rsidRPr="00A02FD7">
        <w:t>Portfolio of evidence</w:t>
      </w:r>
    </w:p>
    <w:p w:rsidR="00105132" w:rsidRDefault="00105132" w:rsidP="00105132">
      <w:pPr>
        <w:pStyle w:val="AHPRAbody"/>
      </w:pPr>
      <w:r>
        <w:t xml:space="preserve">You must submit within the timeframe and in the manner required by this registration standard and the ESM Guidelines a portfolio of evidence for assessment by the Board.  </w:t>
      </w:r>
    </w:p>
    <w:p w:rsidR="00105132" w:rsidRDefault="00105132" w:rsidP="00105132">
      <w:pPr>
        <w:pStyle w:val="AHPRAbody"/>
      </w:pPr>
      <w:r>
        <w:t>The portfolio of evidence must meet the requirements for a portfolio of evidence as set out in the ESM Guidelines and demonstrate to the Board’s satisfaction that you have:</w:t>
      </w:r>
    </w:p>
    <w:p w:rsidR="00834431" w:rsidRDefault="00105132" w:rsidP="00834431">
      <w:pPr>
        <w:pStyle w:val="ListNumber"/>
        <w:numPr>
          <w:ilvl w:val="0"/>
          <w:numId w:val="6"/>
        </w:numPr>
        <w:ind w:left="369" w:hanging="369"/>
      </w:pPr>
      <w:r>
        <w:t xml:space="preserve">the required </w:t>
      </w:r>
      <w:r w:rsidRPr="00C15306">
        <w:rPr>
          <w:b/>
        </w:rPr>
        <w:t>prescribing competencies</w:t>
      </w:r>
      <w:r>
        <w:t xml:space="preserve"> to have your registration endorsed for scheduled    medicines, and</w:t>
      </w:r>
    </w:p>
    <w:p w:rsidR="00834431" w:rsidRDefault="00105132" w:rsidP="00834431">
      <w:pPr>
        <w:pStyle w:val="ListNumber"/>
        <w:numPr>
          <w:ilvl w:val="0"/>
          <w:numId w:val="6"/>
        </w:numPr>
        <w:ind w:left="369" w:hanging="369"/>
      </w:pPr>
      <w:r>
        <w:t xml:space="preserve">met the Board’s </w:t>
      </w:r>
      <w:r w:rsidRPr="0015577B">
        <w:rPr>
          <w:b/>
        </w:rPr>
        <w:t>supervised practice</w:t>
      </w:r>
      <w:r>
        <w:t xml:space="preserve"> requirements.</w:t>
      </w:r>
    </w:p>
    <w:p w:rsidR="00834431" w:rsidRDefault="00105132" w:rsidP="00834431">
      <w:pPr>
        <w:pStyle w:val="AHPRASubheadinglevel2"/>
        <w:ind w:left="369" w:hanging="369"/>
      </w:pPr>
      <w:r>
        <w:t>2.5</w:t>
      </w:r>
      <w:r>
        <w:tab/>
        <w:t>Initial assessment of clinical studies</w:t>
      </w:r>
    </w:p>
    <w:p w:rsidR="00105132" w:rsidRDefault="00105132" w:rsidP="00105132">
      <w:pPr>
        <w:pStyle w:val="AHPRAbody"/>
      </w:pPr>
      <w:r>
        <w:t xml:space="preserve">During your period of </w:t>
      </w:r>
      <w:r w:rsidRPr="0015577B">
        <w:rPr>
          <w:b/>
        </w:rPr>
        <w:t>supervised practice</w:t>
      </w:r>
      <w:r>
        <w:t xml:space="preserve"> you must, among other things, prepare clinical studies as part of your portfolio of evidence. The clinical studies relate to patient cases you have observed during your period of </w:t>
      </w:r>
      <w:r w:rsidRPr="00A3054E">
        <w:rPr>
          <w:b/>
        </w:rPr>
        <w:t>supervised practice</w:t>
      </w:r>
      <w:r>
        <w:t xml:space="preserve">. </w:t>
      </w:r>
    </w:p>
    <w:p w:rsidR="00105132" w:rsidRDefault="00105132" w:rsidP="00105132">
      <w:pPr>
        <w:pStyle w:val="AHPRAbody"/>
      </w:pPr>
      <w:r>
        <w:t xml:space="preserve">When you have completed a minimum of 25 hours of </w:t>
      </w:r>
      <w:r w:rsidRPr="00A3054E">
        <w:rPr>
          <w:b/>
        </w:rPr>
        <w:t>supervised practice</w:t>
      </w:r>
      <w:r>
        <w:t xml:space="preserve"> you must submit to the Board for assessment three clinical studies. You can continue with your period of </w:t>
      </w:r>
      <w:r w:rsidRPr="00A3054E">
        <w:rPr>
          <w:b/>
        </w:rPr>
        <w:t>supervised practice</w:t>
      </w:r>
      <w:r>
        <w:t xml:space="preserve"> while these case studies are being assessed. </w:t>
      </w:r>
    </w:p>
    <w:p w:rsidR="00105132" w:rsidRDefault="00105132" w:rsidP="00105132">
      <w:pPr>
        <w:pStyle w:val="AHPRAbody"/>
      </w:pPr>
      <w:r>
        <w:t xml:space="preserve">The Board will advise you whether the clinical studies you have submitted are satisfactory. You must have three clinical studies assessed as satisfactory by the Board by the time you complete your period of </w:t>
      </w:r>
      <w:r w:rsidRPr="00A3054E">
        <w:rPr>
          <w:b/>
        </w:rPr>
        <w:t>supervised practice</w:t>
      </w:r>
      <w:r>
        <w:t>.</w:t>
      </w:r>
    </w:p>
    <w:p w:rsidR="00105132" w:rsidRDefault="00105132" w:rsidP="00105132">
      <w:pPr>
        <w:pStyle w:val="AHPRAbody"/>
      </w:pPr>
      <w:r>
        <w:t xml:space="preserve">Further information about the requirements for clinical studies and the initial assessment by the Board, including what happens if the clinical studies are assessed as not satisfactory can be found in the ESM Guidelines. </w:t>
      </w:r>
    </w:p>
    <w:p w:rsidR="00834431" w:rsidRDefault="00105132" w:rsidP="00834431">
      <w:pPr>
        <w:pStyle w:val="AHPRASubheadinglevel2"/>
        <w:ind w:left="369" w:hanging="369"/>
      </w:pPr>
      <w:r>
        <w:t>2.6</w:t>
      </w:r>
      <w:r>
        <w:tab/>
        <w:t xml:space="preserve">When can I submit </w:t>
      </w:r>
      <w:r w:rsidR="001D017E">
        <w:t xml:space="preserve">an </w:t>
      </w:r>
      <w:r>
        <w:t xml:space="preserve">application for endorsement under Pathway </w:t>
      </w:r>
      <w:r w:rsidR="002739E5">
        <w:t>B</w:t>
      </w:r>
      <w:r>
        <w:t>?</w:t>
      </w:r>
    </w:p>
    <w:p w:rsidR="00105132" w:rsidRDefault="00105132" w:rsidP="00105132">
      <w:pPr>
        <w:pStyle w:val="AHPRAbody"/>
      </w:pPr>
      <w:r>
        <w:t xml:space="preserve">You may submit your application to the Board to have your registration endorsed for scheduled medicines under Pathway </w:t>
      </w:r>
      <w:r w:rsidR="002739E5">
        <w:t>B</w:t>
      </w:r>
      <w:r>
        <w:t xml:space="preserve">, together with your portfolio of evidence when: </w:t>
      </w:r>
    </w:p>
    <w:p w:rsidR="00834431" w:rsidRDefault="00105132" w:rsidP="00834431">
      <w:pPr>
        <w:pStyle w:val="ListNumber"/>
        <w:numPr>
          <w:ilvl w:val="0"/>
          <w:numId w:val="7"/>
        </w:numPr>
        <w:ind w:left="369" w:hanging="369"/>
      </w:pPr>
      <w:r>
        <w:t xml:space="preserve">you have completed your period of </w:t>
      </w:r>
      <w:r w:rsidRPr="00A3054E">
        <w:rPr>
          <w:b/>
        </w:rPr>
        <w:t>supervised practice</w:t>
      </w:r>
      <w:r>
        <w:t>, and</w:t>
      </w:r>
    </w:p>
    <w:p w:rsidR="00834431" w:rsidRDefault="00105132" w:rsidP="00834431">
      <w:pPr>
        <w:pStyle w:val="ListNumber"/>
        <w:numPr>
          <w:ilvl w:val="0"/>
          <w:numId w:val="7"/>
        </w:numPr>
        <w:ind w:left="369" w:hanging="369"/>
      </w:pPr>
      <w:r>
        <w:t xml:space="preserve">three clinical studies have been assessed as satisfactory by the Board. </w:t>
      </w:r>
    </w:p>
    <w:p w:rsidR="00105132" w:rsidRDefault="00105132" w:rsidP="00105132">
      <w:pPr>
        <w:pStyle w:val="AHPRAbody"/>
      </w:pPr>
      <w:r>
        <w:t xml:space="preserve">Your application must be submitted within 12 months of completing </w:t>
      </w:r>
      <w:r w:rsidRPr="003A29F3">
        <w:t>your period of</w:t>
      </w:r>
      <w:r w:rsidRPr="00A3054E">
        <w:rPr>
          <w:b/>
        </w:rPr>
        <w:t xml:space="preserve"> supervised practice</w:t>
      </w:r>
      <w:r>
        <w:t xml:space="preserve">. </w:t>
      </w:r>
    </w:p>
    <w:p w:rsidR="00105132" w:rsidRDefault="00105132" w:rsidP="00105132">
      <w:pPr>
        <w:pStyle w:val="AHPRAbody"/>
      </w:pPr>
      <w:r>
        <w:lastRenderedPageBreak/>
        <w:t xml:space="preserve">If you have not provided sufficient evidence in your portfolio to demonstrate you have the required </w:t>
      </w:r>
      <w:r w:rsidRPr="00A3054E">
        <w:rPr>
          <w:b/>
        </w:rPr>
        <w:t>prescribing competencies</w:t>
      </w:r>
      <w:r>
        <w:t xml:space="preserve"> to have your registration endorsed for scheduled medicines the Board may: </w:t>
      </w:r>
    </w:p>
    <w:p w:rsidR="00105132" w:rsidRDefault="00105132" w:rsidP="00105132">
      <w:pPr>
        <w:pStyle w:val="AHPRABulletlevel1last"/>
      </w:pPr>
      <w:r>
        <w:t xml:space="preserve">require you to undertake a further period of </w:t>
      </w:r>
      <w:r w:rsidRPr="00A3054E">
        <w:rPr>
          <w:b/>
        </w:rPr>
        <w:t>supervised practice</w:t>
      </w:r>
    </w:p>
    <w:p w:rsidR="00105132" w:rsidRDefault="00105132" w:rsidP="00105132">
      <w:pPr>
        <w:pStyle w:val="AHPRABulletlevel1last"/>
      </w:pPr>
      <w:r>
        <w:t xml:space="preserve">require you to complete further education </w:t>
      </w:r>
    </w:p>
    <w:p w:rsidR="00105132" w:rsidRDefault="00105132" w:rsidP="00105132">
      <w:pPr>
        <w:pStyle w:val="AHPRABulletlevel1last"/>
      </w:pPr>
      <w:r>
        <w:t>require you to p</w:t>
      </w:r>
      <w:r w:rsidR="008E256E">
        <w:t xml:space="preserve">rovide further information, </w:t>
      </w:r>
      <w:r>
        <w:t>or</w:t>
      </w:r>
    </w:p>
    <w:p w:rsidR="00105132" w:rsidRDefault="00105132" w:rsidP="00105132">
      <w:pPr>
        <w:pStyle w:val="AHPRABulletlevel1last"/>
      </w:pPr>
      <w:proofErr w:type="gramStart"/>
      <w:r>
        <w:t>refuse</w:t>
      </w:r>
      <w:proofErr w:type="gramEnd"/>
      <w:r>
        <w:t xml:space="preserve"> your application for endorsement.</w:t>
      </w:r>
    </w:p>
    <w:p w:rsidR="00105132" w:rsidRPr="00410FCF" w:rsidRDefault="00105132" w:rsidP="00105132">
      <w:pPr>
        <w:pStyle w:val="AHPRASubheading"/>
      </w:pPr>
      <w:r w:rsidRPr="00410FCF">
        <w:t xml:space="preserve">Guidelines </w:t>
      </w:r>
    </w:p>
    <w:p w:rsidR="00105132" w:rsidRDefault="00105132" w:rsidP="00105132">
      <w:pPr>
        <w:pStyle w:val="AHPRAbody"/>
      </w:pPr>
      <w:r>
        <w:t xml:space="preserve">This registration standard must be read in conjunction with the following guidelines. You are expected to apply these guidelines together with this registration standard. </w:t>
      </w:r>
    </w:p>
    <w:p w:rsidR="00105132" w:rsidRDefault="00105132" w:rsidP="00105132">
      <w:pPr>
        <w:pStyle w:val="AHPRASubheadinglevel2"/>
      </w:pPr>
      <w:r>
        <w:t>Guidelines: Endorsement for scheduled medicines (ESM Guidelines)</w:t>
      </w:r>
    </w:p>
    <w:p w:rsidR="00105132" w:rsidRDefault="00105132" w:rsidP="00105132">
      <w:pPr>
        <w:pStyle w:val="AHPRAbody"/>
      </w:pPr>
      <w:r>
        <w:t>These guidelines provide more information and guidance about how to meet the requirements of this registration standard, including:</w:t>
      </w:r>
    </w:p>
    <w:p w:rsidR="00834431" w:rsidRDefault="00105132" w:rsidP="00834431">
      <w:pPr>
        <w:pStyle w:val="AHPRABulletlevel1last"/>
        <w:ind w:left="369" w:hanging="369"/>
      </w:pPr>
      <w:r>
        <w:t xml:space="preserve">the required </w:t>
      </w:r>
      <w:r w:rsidRPr="00A3054E">
        <w:rPr>
          <w:b/>
        </w:rPr>
        <w:t>prescribing competencies</w:t>
      </w:r>
      <w:r>
        <w:t xml:space="preserve"> to have your registration endorsed for scheduled medicines</w:t>
      </w:r>
    </w:p>
    <w:p w:rsidR="00834431" w:rsidRDefault="00105132" w:rsidP="00834431">
      <w:pPr>
        <w:pStyle w:val="AHPRABulletlevel1last"/>
        <w:ind w:left="369" w:hanging="369"/>
      </w:pPr>
      <w:r>
        <w:t xml:space="preserve">approved qualifications </w:t>
      </w:r>
    </w:p>
    <w:p w:rsidR="00834431" w:rsidRDefault="00A3054E" w:rsidP="00834431">
      <w:pPr>
        <w:pStyle w:val="AHPRABulletlevel1last"/>
        <w:ind w:left="369" w:hanging="369"/>
      </w:pPr>
      <w:r>
        <w:t xml:space="preserve">information about </w:t>
      </w:r>
      <w:r w:rsidR="00105132" w:rsidRPr="00A3054E">
        <w:rPr>
          <w:b/>
        </w:rPr>
        <w:t>approved online case studies</w:t>
      </w:r>
    </w:p>
    <w:p w:rsidR="00834431" w:rsidRDefault="00105132" w:rsidP="00834431">
      <w:pPr>
        <w:pStyle w:val="AHPRABulletlevel1last"/>
        <w:ind w:left="369" w:hanging="369"/>
      </w:pPr>
      <w:r>
        <w:t xml:space="preserve">the requirements for </w:t>
      </w:r>
      <w:r w:rsidRPr="00A3054E">
        <w:rPr>
          <w:b/>
        </w:rPr>
        <w:t>supervised practice</w:t>
      </w:r>
    </w:p>
    <w:p w:rsidR="00834431" w:rsidRDefault="00105132" w:rsidP="00834431">
      <w:pPr>
        <w:pStyle w:val="AHPRABulletlevel1last"/>
        <w:ind w:left="369" w:hanging="369"/>
      </w:pPr>
      <w:r>
        <w:t xml:space="preserve">the evidence to be included in the portfolio </w:t>
      </w:r>
    </w:p>
    <w:p w:rsidR="00834431" w:rsidRDefault="00105132" w:rsidP="00834431">
      <w:pPr>
        <w:pStyle w:val="AHPRABulletlevel1last"/>
        <w:ind w:left="369" w:hanging="369"/>
      </w:pPr>
      <w:r>
        <w:t>information about initial assessment of clinical studies, and</w:t>
      </w:r>
    </w:p>
    <w:p w:rsidR="00834431" w:rsidRDefault="00105132" w:rsidP="00834431">
      <w:pPr>
        <w:pStyle w:val="AHPRABulletlevel1last"/>
        <w:ind w:left="369" w:hanging="369"/>
      </w:pPr>
      <w:proofErr w:type="gramStart"/>
      <w:r>
        <w:t>useful</w:t>
      </w:r>
      <w:proofErr w:type="gramEnd"/>
      <w:r>
        <w:t xml:space="preserve"> references and resources.</w:t>
      </w:r>
    </w:p>
    <w:p w:rsidR="00105132" w:rsidRDefault="00105132" w:rsidP="00105132">
      <w:pPr>
        <w:pStyle w:val="AHPRAbody"/>
      </w:pPr>
      <w:r>
        <w:t xml:space="preserve">The ESM guidelines can be found on the </w:t>
      </w:r>
      <w:hyperlink r:id="rId8" w:history="1">
        <w:r w:rsidRPr="00C15306">
          <w:rPr>
            <w:rStyle w:val="Hyperlink"/>
          </w:rPr>
          <w:t>Endorsement for scheduled medicines</w:t>
        </w:r>
      </w:hyperlink>
      <w:r>
        <w:t xml:space="preserve"> page of the Board’s website. </w:t>
      </w:r>
    </w:p>
    <w:p w:rsidR="00105132" w:rsidRDefault="00105132" w:rsidP="00105132">
      <w:pPr>
        <w:pStyle w:val="AHPRASubheadinglevel2"/>
      </w:pPr>
      <w:r>
        <w:t xml:space="preserve">Clinical practice guidelines: Endorsement for scheduled medicines </w:t>
      </w:r>
    </w:p>
    <w:p w:rsidR="00105132" w:rsidRDefault="00105132" w:rsidP="00105132">
      <w:pPr>
        <w:pStyle w:val="AHPRAbody"/>
      </w:pPr>
      <w:r>
        <w:t>These guidelines outline the ongoing clinical practice requirements for podiatrists and podiatric surgeons with an endorsement for scheduled medicines. They include guidance about:</w:t>
      </w:r>
    </w:p>
    <w:p w:rsidR="00834431" w:rsidRDefault="00105132" w:rsidP="00834431">
      <w:pPr>
        <w:pStyle w:val="AHPRABulletlevel1last"/>
        <w:ind w:left="369" w:hanging="369"/>
      </w:pPr>
      <w:r>
        <w:t xml:space="preserve">appropriate clinical practice relating to the safe and effective use of scheduled medicines, including communication with the patient and members of the patient’s healthcare team </w:t>
      </w:r>
    </w:p>
    <w:p w:rsidR="00834431" w:rsidRDefault="00105132" w:rsidP="00834431">
      <w:pPr>
        <w:pStyle w:val="AHPRABulletlevel1last"/>
        <w:ind w:left="369" w:hanging="369"/>
      </w:pPr>
      <w:r>
        <w:t xml:space="preserve">quality use of medicines (QUM) </w:t>
      </w:r>
    </w:p>
    <w:p w:rsidR="00834431" w:rsidRDefault="00F26292" w:rsidP="00834431">
      <w:pPr>
        <w:pStyle w:val="AHPRABulletlevel1last"/>
        <w:ind w:left="369" w:hanging="369"/>
      </w:pPr>
      <w:r>
        <w:t>adverse event reporting</w:t>
      </w:r>
      <w:r w:rsidR="00105132">
        <w:t xml:space="preserve"> </w:t>
      </w:r>
    </w:p>
    <w:p w:rsidR="00834431" w:rsidRDefault="00105132" w:rsidP="00834431">
      <w:pPr>
        <w:pStyle w:val="AHPRABulletlevel1last"/>
        <w:ind w:left="369" w:hanging="369"/>
      </w:pPr>
      <w:r>
        <w:t xml:space="preserve">prescriptions </w:t>
      </w:r>
    </w:p>
    <w:p w:rsidR="00834431" w:rsidRDefault="00105132" w:rsidP="00834431">
      <w:pPr>
        <w:pStyle w:val="AHPRABulletlevel1last"/>
        <w:ind w:left="369" w:hanging="369"/>
      </w:pPr>
      <w:r>
        <w:t xml:space="preserve">supply of scheduled medicines, and </w:t>
      </w:r>
    </w:p>
    <w:p w:rsidR="00834431" w:rsidRDefault="00105132" w:rsidP="00834431">
      <w:pPr>
        <w:pStyle w:val="AHPRABulletlevel1last"/>
        <w:ind w:left="369" w:hanging="369"/>
      </w:pPr>
      <w:proofErr w:type="gramStart"/>
      <w:r>
        <w:t>antimicrobial</w:t>
      </w:r>
      <w:proofErr w:type="gramEnd"/>
      <w:r>
        <w:t xml:space="preserve"> stewardship. </w:t>
      </w:r>
    </w:p>
    <w:p w:rsidR="00105132" w:rsidRDefault="00105132" w:rsidP="00105132">
      <w:pPr>
        <w:pStyle w:val="AHPRAbody"/>
      </w:pPr>
      <w:r>
        <w:t>The clinical practice guidelines can be found at Appendix 3 to the ESM Guidelines.</w:t>
      </w:r>
    </w:p>
    <w:p w:rsidR="00105132" w:rsidRPr="00423BD3" w:rsidRDefault="00105132" w:rsidP="00105132">
      <w:pPr>
        <w:pStyle w:val="AHPRASubheading"/>
      </w:pPr>
      <w:r w:rsidRPr="00423BD3">
        <w:lastRenderedPageBreak/>
        <w:t>State or territory authority</w:t>
      </w:r>
    </w:p>
    <w:p w:rsidR="00105132" w:rsidRDefault="00105132" w:rsidP="00105132">
      <w:pPr>
        <w:pStyle w:val="AHPRAbody"/>
      </w:pPr>
      <w:r>
        <w:t>The endorsement of your registration for scheduled medicines indicates that you are qualified to administer, obtain, possess, prescribe, sell, supply or use Schedule 2, 3, 4 or 8 medicines specified in the endorsement but does not authorise you to do so.</w:t>
      </w:r>
    </w:p>
    <w:p w:rsidR="00105132" w:rsidRDefault="00105132" w:rsidP="00105132">
      <w:pPr>
        <w:pStyle w:val="AHPRAbody"/>
      </w:pPr>
      <w:r>
        <w:t>The authorisation for you to administer, obtain, possess, prescribe, sell, supply or use scheduled medicines in a state or territory will be provided by or under legislation and regulations of the state or territory in which you are practising.</w:t>
      </w:r>
    </w:p>
    <w:p w:rsidR="00105132" w:rsidRDefault="00105132" w:rsidP="00105132">
      <w:pPr>
        <w:pStyle w:val="AHPRAbody"/>
      </w:pPr>
      <w:r>
        <w:t>You must administer, obtain, possess, prescribe, sell, supply or use scheduled medicines within the scope of the state or territory authority at all times.</w:t>
      </w:r>
    </w:p>
    <w:p w:rsidR="00105132" w:rsidRPr="00B00469" w:rsidRDefault="00105132" w:rsidP="00105132">
      <w:pPr>
        <w:pStyle w:val="AHPRASubheading"/>
        <w:rPr>
          <w:szCs w:val="22"/>
        </w:rPr>
      </w:pPr>
      <w:r w:rsidRPr="00B00469">
        <w:rPr>
          <w:szCs w:val="22"/>
        </w:rPr>
        <w:t>What does this mean for me?</w:t>
      </w:r>
    </w:p>
    <w:p w:rsidR="00105132" w:rsidRPr="00B3115F" w:rsidRDefault="00105132" w:rsidP="00105132">
      <w:pPr>
        <w:pStyle w:val="AHPRASubheadinglevel2"/>
      </w:pPr>
      <w:r w:rsidRPr="00332363">
        <w:t>When you apply for endorsement for scheduled medicines</w:t>
      </w:r>
    </w:p>
    <w:p w:rsidR="00105132" w:rsidRDefault="00105132" w:rsidP="00105132">
      <w:pPr>
        <w:pStyle w:val="AHPRAbody"/>
      </w:pPr>
      <w:r>
        <w:t>When you apply to have your registration endorsed for scheduled medicines you must meet the requirements of this registration standard.</w:t>
      </w:r>
    </w:p>
    <w:p w:rsidR="00105132" w:rsidRDefault="00105132" w:rsidP="00105132">
      <w:pPr>
        <w:pStyle w:val="AHPRASubheadinglevel2"/>
      </w:pPr>
      <w:r>
        <w:t>At renewal of registration</w:t>
      </w:r>
    </w:p>
    <w:p w:rsidR="00105132" w:rsidRDefault="00105132" w:rsidP="00105132">
      <w:pPr>
        <w:pStyle w:val="AHPRAbody"/>
      </w:pPr>
      <w:r>
        <w:t>When you apply to renew your registration, you are also applying to renew your endorsement for scheduled medicines.</w:t>
      </w:r>
    </w:p>
    <w:p w:rsidR="00105132" w:rsidRDefault="00105132" w:rsidP="00105132">
      <w:pPr>
        <w:pStyle w:val="AHPRAbody"/>
      </w:pPr>
      <w:r w:rsidRPr="00DD31D4">
        <w:t xml:space="preserve">You must have recent practice relating to your endorsement for scheduled medicines in accordance with the Board’s </w:t>
      </w:r>
      <w:r w:rsidRPr="00DD31D4">
        <w:rPr>
          <w:i/>
        </w:rPr>
        <w:t xml:space="preserve">Registration standard: </w:t>
      </w:r>
      <w:proofErr w:type="spellStart"/>
      <w:r w:rsidRPr="00DD31D4">
        <w:rPr>
          <w:i/>
        </w:rPr>
        <w:t>Recency</w:t>
      </w:r>
      <w:proofErr w:type="spellEnd"/>
      <w:r w:rsidRPr="00DD31D4">
        <w:rPr>
          <w:i/>
        </w:rPr>
        <w:t xml:space="preserve"> of practice</w:t>
      </w:r>
      <w:r>
        <w:t xml:space="preserve"> and must have completed continuing professional development (CPD) relevant to your endorsement in accordance with the Board’s </w:t>
      </w:r>
      <w:r w:rsidRPr="00C15306">
        <w:rPr>
          <w:i/>
        </w:rPr>
        <w:t>Registration standard: Continuing professional development</w:t>
      </w:r>
      <w:r>
        <w:t>.</w:t>
      </w:r>
    </w:p>
    <w:p w:rsidR="00105132" w:rsidRDefault="00105132" w:rsidP="00105132">
      <w:pPr>
        <w:pStyle w:val="AHPRAbody"/>
      </w:pPr>
      <w:r>
        <w:t xml:space="preserve">When you apply to renew your registration you must declare whether you have met the Board’s </w:t>
      </w:r>
      <w:proofErr w:type="spellStart"/>
      <w:r>
        <w:t>recency</w:t>
      </w:r>
      <w:proofErr w:type="spellEnd"/>
      <w:r>
        <w:t xml:space="preserve"> of practice, continuing professional development and professional indemnity insurance arrangements registration standards. </w:t>
      </w:r>
    </w:p>
    <w:p w:rsidR="00105132" w:rsidRPr="00B3115F" w:rsidRDefault="00105132" w:rsidP="00105132">
      <w:pPr>
        <w:pStyle w:val="AHPRASubheadinglevel2"/>
      </w:pPr>
      <w:r w:rsidRPr="00332363">
        <w:t>During the registration period</w:t>
      </w:r>
    </w:p>
    <w:p w:rsidR="00105132" w:rsidRDefault="00105132" w:rsidP="00105132">
      <w:pPr>
        <w:pStyle w:val="AHPRAbody"/>
      </w:pPr>
      <w:r>
        <w:t>You must:</w:t>
      </w:r>
    </w:p>
    <w:p w:rsidR="00834431" w:rsidRDefault="00105132" w:rsidP="00834431">
      <w:pPr>
        <w:pStyle w:val="AHPRABulletlevel1last"/>
        <w:ind w:left="369" w:hanging="369"/>
      </w:pPr>
      <w:r w:rsidRPr="00B62F02">
        <w:t xml:space="preserve">administer, obtain, possess, prescribe, sell, supply or use only the scheduled medicines listed in the Board’s </w:t>
      </w:r>
      <w:r w:rsidRPr="00B62F02">
        <w:rPr>
          <w:i/>
        </w:rPr>
        <w:t>National podiatry scheduled medicines</w:t>
      </w:r>
      <w:r w:rsidRPr="00B62F02">
        <w:t xml:space="preserve"> </w:t>
      </w:r>
      <w:r w:rsidRPr="00F26292">
        <w:rPr>
          <w:i/>
        </w:rPr>
        <w:t xml:space="preserve">list </w:t>
      </w:r>
      <w:r w:rsidRPr="00B62F02">
        <w:t>at Attachment A in accordance with your endorsement and the restrictions specified in that list</w:t>
      </w:r>
      <w:r>
        <w:t>,</w:t>
      </w:r>
      <w:r w:rsidRPr="00B62F02">
        <w:t xml:space="preserve"> and only to the extent that you are </w:t>
      </w:r>
      <w:proofErr w:type="spellStart"/>
      <w:r w:rsidRPr="00B62F02">
        <w:t>authorised</w:t>
      </w:r>
      <w:proofErr w:type="spellEnd"/>
      <w:r w:rsidRPr="00B62F02">
        <w:t xml:space="preserve"> by the relevant legislation and regulations in the state or territory in which you are </w:t>
      </w:r>
      <w:proofErr w:type="spellStart"/>
      <w:r w:rsidRPr="00B62F02">
        <w:t>practising</w:t>
      </w:r>
      <w:proofErr w:type="spellEnd"/>
      <w:r w:rsidRPr="00B62F02">
        <w:t xml:space="preserve"> </w:t>
      </w:r>
    </w:p>
    <w:p w:rsidR="00834431" w:rsidRDefault="00105132" w:rsidP="00834431">
      <w:pPr>
        <w:pStyle w:val="AHPRABulletlevel1last"/>
        <w:ind w:left="369" w:hanging="369"/>
      </w:pPr>
      <w:r w:rsidRPr="00B62F02">
        <w:t>be aware of, understand and comply with relevant state or territory drugs and poisons legislation and regulations including provisions relating to the secure storage of medicines in your possession</w:t>
      </w:r>
    </w:p>
    <w:p w:rsidR="00834431" w:rsidRDefault="00105132" w:rsidP="00834431">
      <w:pPr>
        <w:pStyle w:val="AHPRABulletlevel1last"/>
        <w:ind w:left="369" w:hanging="369"/>
      </w:pPr>
      <w:r w:rsidRPr="00B62F02">
        <w:t>comply with the relevant state, territory or commonwealth legislation and regulations relating to the reporting of adverse events related to medication incidents and the advertising of therapeutic goods, including scheduled medicines</w:t>
      </w:r>
    </w:p>
    <w:p w:rsidR="00834431" w:rsidRDefault="00105132" w:rsidP="00834431">
      <w:pPr>
        <w:pStyle w:val="AHPRABulletlevel1last"/>
        <w:ind w:left="369" w:hanging="369"/>
      </w:pPr>
      <w:r w:rsidRPr="00B62F02">
        <w:t xml:space="preserve">ensure that you </w:t>
      </w:r>
      <w:r w:rsidRPr="00B62F02">
        <w:rPr>
          <w:b/>
        </w:rPr>
        <w:t>prescribe</w:t>
      </w:r>
      <w:r w:rsidRPr="00B62F02">
        <w:t xml:space="preserve"> within your scope of practice</w:t>
      </w:r>
    </w:p>
    <w:p w:rsidR="00834431" w:rsidRDefault="00105132" w:rsidP="00834431">
      <w:pPr>
        <w:pStyle w:val="AHPRABulletlevel1last"/>
        <w:ind w:left="369" w:hanging="369"/>
      </w:pPr>
      <w:r w:rsidRPr="00B62F02">
        <w:t>work collaboratively with your patient and the</w:t>
      </w:r>
      <w:r>
        <w:t>ir</w:t>
      </w:r>
      <w:r w:rsidRPr="00B62F02">
        <w:t xml:space="preserve"> healthcare team</w:t>
      </w:r>
    </w:p>
    <w:p w:rsidR="00834431" w:rsidRDefault="00105132" w:rsidP="00834431">
      <w:pPr>
        <w:pStyle w:val="AHPRABulletlevel1last"/>
        <w:ind w:left="369" w:hanging="369"/>
      </w:pPr>
      <w:proofErr w:type="spellStart"/>
      <w:r w:rsidRPr="00B62F02">
        <w:t>practise</w:t>
      </w:r>
      <w:proofErr w:type="spellEnd"/>
      <w:r w:rsidRPr="00B62F02">
        <w:t xml:space="preserve"> in accordance with the Board’s </w:t>
      </w:r>
      <w:r w:rsidRPr="00B62F02">
        <w:rPr>
          <w:i/>
        </w:rPr>
        <w:t>Clinical practice guidelines: Endorsement for scheduled medicines</w:t>
      </w:r>
      <w:r w:rsidRPr="00B62F02">
        <w:t xml:space="preserve"> </w:t>
      </w:r>
    </w:p>
    <w:p w:rsidR="00834431" w:rsidRDefault="00105132" w:rsidP="00834431">
      <w:pPr>
        <w:pStyle w:val="AHPRABulletlevel1last"/>
        <w:ind w:left="369" w:hanging="369"/>
      </w:pPr>
      <w:r w:rsidRPr="00B62F02">
        <w:lastRenderedPageBreak/>
        <w:t xml:space="preserve">have recent experience in this scope of practice that meets the Board’s </w:t>
      </w:r>
      <w:r w:rsidRPr="00B62F02">
        <w:rPr>
          <w:i/>
        </w:rPr>
        <w:t xml:space="preserve">Registration standard: </w:t>
      </w:r>
      <w:proofErr w:type="spellStart"/>
      <w:r w:rsidRPr="00B62F02">
        <w:rPr>
          <w:i/>
        </w:rPr>
        <w:t>Recency</w:t>
      </w:r>
      <w:proofErr w:type="spellEnd"/>
      <w:r w:rsidRPr="00B62F02">
        <w:rPr>
          <w:i/>
        </w:rPr>
        <w:t xml:space="preserve"> of practice</w:t>
      </w:r>
      <w:r w:rsidR="00915166">
        <w:rPr>
          <w:i/>
        </w:rPr>
        <w:t>,</w:t>
      </w:r>
      <w:r w:rsidR="00915166">
        <w:t xml:space="preserve"> and</w:t>
      </w:r>
    </w:p>
    <w:p w:rsidR="00834431" w:rsidRDefault="00105132" w:rsidP="00834431">
      <w:pPr>
        <w:pStyle w:val="AHPRABulletlevel1last"/>
        <w:ind w:left="369" w:hanging="369"/>
      </w:pPr>
      <w:proofErr w:type="gramStart"/>
      <w:r w:rsidRPr="00B62F02">
        <w:t>maintain</w:t>
      </w:r>
      <w:proofErr w:type="gramEnd"/>
      <w:r w:rsidRPr="00B62F02">
        <w:t xml:space="preserve"> and enhance your competence to prescribe scheduled medicines including completing the required amount of CPD relevant to your scheduled medicines endorsement as set out in the Board’s </w:t>
      </w:r>
      <w:r w:rsidRPr="00B62F02">
        <w:rPr>
          <w:i/>
        </w:rPr>
        <w:t>Registration standard: Continuing professional development</w:t>
      </w:r>
      <w:r w:rsidRPr="00B62F02">
        <w:t xml:space="preserve">. </w:t>
      </w:r>
    </w:p>
    <w:p w:rsidR="00105132" w:rsidRDefault="00105132" w:rsidP="00105132">
      <w:pPr>
        <w:pStyle w:val="AHPRASubheading"/>
      </w:pPr>
      <w:r>
        <w:t>What happens if I don’t meet this standard?</w:t>
      </w:r>
    </w:p>
    <w:p w:rsidR="00105132" w:rsidRDefault="00105132" w:rsidP="00105132">
      <w:pPr>
        <w:pStyle w:val="AHPRAbody"/>
      </w:pPr>
      <w:r>
        <w:t xml:space="preserve">The </w:t>
      </w:r>
      <w:r w:rsidRPr="00CC58B6">
        <w:rPr>
          <w:b/>
        </w:rPr>
        <w:t>National Law</w:t>
      </w:r>
      <w:r>
        <w:t xml:space="preserve"> establishes possible consequences if you don’t meet this standard, including that:</w:t>
      </w:r>
    </w:p>
    <w:p w:rsidR="00834431" w:rsidRDefault="00105132" w:rsidP="00834431">
      <w:pPr>
        <w:pStyle w:val="AHPRABulletlevel1last"/>
        <w:ind w:left="369" w:hanging="369"/>
      </w:pPr>
      <w:r>
        <w:t xml:space="preserve">the Board can refuse your application for endorsement or renewal of registration, or impose conditions on your endorsement (sections 102, 103 and 112 of the </w:t>
      </w:r>
      <w:r w:rsidRPr="00CC58B6">
        <w:rPr>
          <w:b/>
        </w:rPr>
        <w:t>National Law</w:t>
      </w:r>
      <w:r>
        <w:t xml:space="preserve">), and </w:t>
      </w:r>
    </w:p>
    <w:p w:rsidR="00834431" w:rsidRDefault="00105132" w:rsidP="00834431">
      <w:pPr>
        <w:pStyle w:val="AHPRABulletlevel1last"/>
        <w:ind w:left="369" w:hanging="369"/>
      </w:pPr>
      <w:proofErr w:type="gramStart"/>
      <w:r>
        <w:t>registration</w:t>
      </w:r>
      <w:proofErr w:type="gramEnd"/>
      <w:r>
        <w:t xml:space="preserve"> standards, codes or guidelines may be used in disciplinary proceedings against health practitioners as evidence of what constitutes appropriate practice or conduct for the health profession (section 41 of the </w:t>
      </w:r>
      <w:r w:rsidRPr="00CC58B6">
        <w:rPr>
          <w:b/>
        </w:rPr>
        <w:t>National Law</w:t>
      </w:r>
      <w:r>
        <w:t>).</w:t>
      </w:r>
    </w:p>
    <w:p w:rsidR="00105132" w:rsidRDefault="00105132" w:rsidP="00105132">
      <w:pPr>
        <w:pStyle w:val="AHPRASubheading"/>
        <w:rPr>
          <w:bCs/>
        </w:rPr>
      </w:pPr>
      <w:r w:rsidRPr="0018141A">
        <w:t>Authority</w:t>
      </w:r>
    </w:p>
    <w:p w:rsidR="00105132" w:rsidRDefault="00105132" w:rsidP="00105132">
      <w:pPr>
        <w:pStyle w:val="AHPRAbody"/>
      </w:pPr>
      <w:r>
        <w:t xml:space="preserve">The Board has approval from the </w:t>
      </w:r>
      <w:r w:rsidRPr="00CC58B6">
        <w:rPr>
          <w:b/>
        </w:rPr>
        <w:t>Ministerial Council</w:t>
      </w:r>
      <w:r>
        <w:t xml:space="preserve"> under section 14 of the </w:t>
      </w:r>
      <w:r w:rsidRPr="00D27A29">
        <w:rPr>
          <w:b/>
        </w:rPr>
        <w:t>National Law</w:t>
      </w:r>
      <w:r>
        <w:t xml:space="preserve"> to endorse the registration of a podiatrist or podiatric surgeon to the extent described in this registration standard.</w:t>
      </w:r>
    </w:p>
    <w:p w:rsidR="00105132" w:rsidRDefault="00105132" w:rsidP="00105132">
      <w:pPr>
        <w:pStyle w:val="AHPRAbody"/>
      </w:pPr>
      <w:r>
        <w:t xml:space="preserve">This registration standard was approved by the </w:t>
      </w:r>
      <w:r w:rsidRPr="00B62F02">
        <w:rPr>
          <w:b/>
        </w:rPr>
        <w:t>Ministerial Council</w:t>
      </w:r>
      <w:r>
        <w:t xml:space="preserve"> on </w:t>
      </w:r>
      <w:r w:rsidR="00C5247E">
        <w:t>2 February 2018</w:t>
      </w:r>
      <w:r>
        <w:t xml:space="preserve">. </w:t>
      </w:r>
    </w:p>
    <w:p w:rsidR="00105132" w:rsidRDefault="00105132" w:rsidP="00105132">
      <w:pPr>
        <w:pStyle w:val="AHPRAbody"/>
      </w:pPr>
      <w:r>
        <w:t xml:space="preserve">Registration standards are developed under section 38 of the </w:t>
      </w:r>
      <w:r w:rsidRPr="00D27A29">
        <w:rPr>
          <w:b/>
        </w:rPr>
        <w:t>National Law</w:t>
      </w:r>
      <w:r>
        <w:t xml:space="preserve"> and are subject to wide-ranging consultation.</w:t>
      </w:r>
    </w:p>
    <w:p w:rsidR="00105132" w:rsidRDefault="00105132" w:rsidP="00105132">
      <w:pPr>
        <w:pStyle w:val="AHPRASubheading"/>
      </w:pPr>
      <w:r w:rsidRPr="00584608">
        <w:t>Definitions</w:t>
      </w:r>
    </w:p>
    <w:p w:rsidR="00105132" w:rsidRDefault="00105132" w:rsidP="00105132">
      <w:pPr>
        <w:pStyle w:val="AHPRAbody"/>
      </w:pPr>
      <w:r>
        <w:t xml:space="preserve">The following terms are defined for the purpose of this registration standard: </w:t>
      </w:r>
    </w:p>
    <w:p w:rsidR="00105132" w:rsidRDefault="00105132" w:rsidP="00105132">
      <w:pPr>
        <w:pStyle w:val="AHPRAbody"/>
      </w:pPr>
      <w:r w:rsidRPr="00B62F02">
        <w:rPr>
          <w:b/>
        </w:rPr>
        <w:t>Approved qualification for endorsement for scheduled medicines</w:t>
      </w:r>
      <w:r>
        <w:t xml:space="preserve"> means a qualification obtained by completing a podiatry program of study that has been accredited by the accreditation authority for the podiatry profession and subsequently approved by the Board as providing a qualification for the purpose of endorsement for scheduled medicines for the podiatry profession</w:t>
      </w:r>
      <w:r w:rsidR="002F37F9">
        <w:t xml:space="preserve"> under Pathway A of this registration standard.</w:t>
      </w:r>
      <w:r>
        <w:t xml:space="preserve">  The program of study is aligned to the NPS MedicineWise </w:t>
      </w:r>
      <w:r w:rsidRPr="00190452">
        <w:rPr>
          <w:i/>
        </w:rPr>
        <w:t>Prescribing Competencies Framework</w:t>
      </w:r>
      <w:r>
        <w:t xml:space="preserve"> and includes education and training in podiatric therapeutics as well as clinically-supervised practice to ensure that graduates have the required competencies for endorsement for scheduled medicines.</w:t>
      </w:r>
    </w:p>
    <w:p w:rsidR="00105132" w:rsidRDefault="00105132" w:rsidP="00105132">
      <w:pPr>
        <w:pStyle w:val="AHPRAbody"/>
      </w:pPr>
      <w:r w:rsidRPr="00A41BDE">
        <w:rPr>
          <w:b/>
        </w:rPr>
        <w:t>Approved qualification in podiatric therapeutics</w:t>
      </w:r>
      <w:r w:rsidRPr="00A41BDE">
        <w:t xml:space="preserve"> means a qualification </w:t>
      </w:r>
      <w:r w:rsidR="00EA7BF6" w:rsidRPr="00A41BDE">
        <w:t xml:space="preserve">obtained by completing a program of study that has been accredited by the accreditation authority for the podiatry profession and subsequently approved by the Board as providing a qualification in podiatric therapeutics for the purpose of </w:t>
      </w:r>
      <w:r w:rsidR="00893BBB" w:rsidRPr="00A41BDE">
        <w:t>P</w:t>
      </w:r>
      <w:r w:rsidR="00EA7BF6" w:rsidRPr="00A41BDE">
        <w:t xml:space="preserve">athway </w:t>
      </w:r>
      <w:r w:rsidR="00893BBB" w:rsidRPr="00A41BDE">
        <w:t>B</w:t>
      </w:r>
      <w:r w:rsidR="00EA7BF6" w:rsidRPr="00A41BDE">
        <w:t xml:space="preserve"> of this registration standard. It </w:t>
      </w:r>
      <w:r w:rsidRPr="00A41BDE">
        <w:t>includes education and training in podiatric therapeutics</w:t>
      </w:r>
      <w:r w:rsidR="00EA7BF6" w:rsidRPr="00A41BDE">
        <w:t xml:space="preserve"> but</w:t>
      </w:r>
      <w:r w:rsidRPr="00A41BDE">
        <w:t xml:space="preserve"> </w:t>
      </w:r>
      <w:r w:rsidRPr="00A41BDE">
        <w:rPr>
          <w:u w:val="single"/>
        </w:rPr>
        <w:t>does not</w:t>
      </w:r>
      <w:r w:rsidRPr="00A41BDE">
        <w:t xml:space="preserve"> include the clinically supervised practice that is required for endorsement for scheduled medicines.</w:t>
      </w:r>
    </w:p>
    <w:p w:rsidR="00105132" w:rsidRDefault="00957454" w:rsidP="00105132">
      <w:pPr>
        <w:pStyle w:val="AHPRAbody"/>
      </w:pPr>
      <w:r>
        <w:rPr>
          <w:b/>
        </w:rPr>
        <w:t>A</w:t>
      </w:r>
      <w:r w:rsidRPr="00B62F02">
        <w:rPr>
          <w:b/>
        </w:rPr>
        <w:t xml:space="preserve">pproved </w:t>
      </w:r>
      <w:r w:rsidR="00105132" w:rsidRPr="00B62F02">
        <w:rPr>
          <w:b/>
        </w:rPr>
        <w:t>online case studies</w:t>
      </w:r>
      <w:r w:rsidR="00105132">
        <w:t xml:space="preserve"> are case studies relevant to endorsement for scheduled medicines delivered online by a university or other approved education provider and approved by the Board. These case studies include an assessable component. Information about approved online case studies is in the ESM Guidelines, published on the </w:t>
      </w:r>
      <w:hyperlink r:id="rId9" w:history="1">
        <w:r w:rsidR="00105132" w:rsidRPr="00491C6F">
          <w:rPr>
            <w:rStyle w:val="Hyperlink"/>
          </w:rPr>
          <w:t>Endorsement for scheduled medicines</w:t>
        </w:r>
      </w:hyperlink>
      <w:r w:rsidR="00105132">
        <w:t xml:space="preserve"> page of the Board's website.</w:t>
      </w:r>
    </w:p>
    <w:p w:rsidR="00105132" w:rsidRDefault="00105132" w:rsidP="00105132">
      <w:pPr>
        <w:pStyle w:val="AHPRAbody"/>
      </w:pPr>
      <w:r w:rsidRPr="00B62F02">
        <w:rPr>
          <w:b/>
        </w:rPr>
        <w:t>Ministerial Council</w:t>
      </w:r>
      <w:r>
        <w:t xml:space="preserve"> means the Australian Health Workforce Ministerial Council.</w:t>
      </w:r>
    </w:p>
    <w:p w:rsidR="00105132" w:rsidRDefault="00105132" w:rsidP="00105132">
      <w:pPr>
        <w:pStyle w:val="AHPRAbody"/>
      </w:pPr>
      <w:r w:rsidRPr="00B62F02">
        <w:rPr>
          <w:b/>
        </w:rPr>
        <w:t>National Law</w:t>
      </w:r>
      <w:r>
        <w:t xml:space="preserve"> means the Health Practitioner Regulation National Law</w:t>
      </w:r>
      <w:r w:rsidR="00987BEC">
        <w:t>,</w:t>
      </w:r>
      <w:r>
        <w:t xml:space="preserve"> as in force in each state and territory.</w:t>
      </w:r>
    </w:p>
    <w:p w:rsidR="005402BD" w:rsidRDefault="005402BD" w:rsidP="005402BD">
      <w:pPr>
        <w:pStyle w:val="AHPRAbody"/>
      </w:pPr>
      <w:r w:rsidRPr="00B62F02">
        <w:rPr>
          <w:b/>
        </w:rPr>
        <w:lastRenderedPageBreak/>
        <w:t>Prescribe</w:t>
      </w:r>
      <w:r>
        <w:t>, when the term is used on its own in this registration standard means the iterative process involving the steps of information gathering, clinical decision making, communication and evaluation which results in the initiation, continuation or cessation of a medicine.</w:t>
      </w:r>
      <w:r>
        <w:rPr>
          <w:rStyle w:val="FootnoteReference"/>
        </w:rPr>
        <w:footnoteReference w:id="3"/>
      </w:r>
      <w:r>
        <w:t xml:space="preserve"> </w:t>
      </w:r>
    </w:p>
    <w:p w:rsidR="005402BD" w:rsidRDefault="005402BD" w:rsidP="005402BD">
      <w:pPr>
        <w:pStyle w:val="AHPRAbody"/>
      </w:pPr>
      <w:r w:rsidRPr="00B62F02">
        <w:rPr>
          <w:b/>
        </w:rPr>
        <w:t>Prescribing competencies</w:t>
      </w:r>
      <w:r>
        <w:t xml:space="preserve"> means the prescribing competencies described in the NPS MedicineWise </w:t>
      </w:r>
      <w:r w:rsidRPr="000B1B83">
        <w:rPr>
          <w:i/>
        </w:rPr>
        <w:t>Prescribing Competencies Framework</w:t>
      </w:r>
      <w:r>
        <w:rPr>
          <w:rStyle w:val="FootnoteReference"/>
        </w:rPr>
        <w:footnoteReference w:id="4"/>
      </w:r>
      <w:r>
        <w:t xml:space="preserve"> as it may be updated from time to time </w:t>
      </w:r>
      <w:r w:rsidR="00987BEC">
        <w:t>‒</w:t>
      </w:r>
      <w:r>
        <w:t xml:space="preserve"> or such other national prescribing competencies that the Board may adopt by notice published on the Board’s website.</w:t>
      </w:r>
    </w:p>
    <w:p w:rsidR="002F37F9" w:rsidRPr="002F37F9" w:rsidRDefault="002F37F9" w:rsidP="002F37F9">
      <w:pPr>
        <w:pStyle w:val="AHPRASubhead"/>
        <w:spacing w:after="0"/>
        <w:rPr>
          <w:b w:val="0"/>
          <w:color w:val="auto"/>
        </w:rPr>
      </w:pPr>
      <w:r w:rsidRPr="00A41BDE">
        <w:rPr>
          <w:color w:val="auto"/>
        </w:rPr>
        <w:t>Recent graduate</w:t>
      </w:r>
      <w:r w:rsidRPr="00A41BDE">
        <w:rPr>
          <w:b w:val="0"/>
          <w:color w:val="auto"/>
        </w:rPr>
        <w:t xml:space="preserve"> for the purpose of this registration standard means</w:t>
      </w:r>
      <w:r w:rsidRPr="00A41BDE">
        <w:rPr>
          <w:color w:val="auto"/>
        </w:rPr>
        <w:t xml:space="preserve"> </w:t>
      </w:r>
      <w:r w:rsidRPr="00A41BDE">
        <w:rPr>
          <w:b w:val="0"/>
          <w:color w:val="auto"/>
        </w:rPr>
        <w:t xml:space="preserve">a person applying for endorsement for scheduled medicines under Pathway A on the basis of an approved qualification for endorsement for scheduled medicines (as defined in </w:t>
      </w:r>
      <w:r w:rsidR="008B384E" w:rsidRPr="00A41BDE">
        <w:rPr>
          <w:b w:val="0"/>
          <w:color w:val="auto"/>
        </w:rPr>
        <w:t>th</w:t>
      </w:r>
      <w:r w:rsidR="008B384E">
        <w:rPr>
          <w:b w:val="0"/>
          <w:color w:val="auto"/>
        </w:rPr>
        <w:t>is</w:t>
      </w:r>
      <w:r w:rsidR="008B384E" w:rsidRPr="00A41BDE">
        <w:rPr>
          <w:b w:val="0"/>
          <w:color w:val="auto"/>
        </w:rPr>
        <w:t xml:space="preserve"> </w:t>
      </w:r>
      <w:r w:rsidRPr="00A41BDE">
        <w:rPr>
          <w:b w:val="0"/>
          <w:color w:val="auto"/>
        </w:rPr>
        <w:t xml:space="preserve">registration standard and the </w:t>
      </w:r>
      <w:r w:rsidR="008B384E">
        <w:rPr>
          <w:b w:val="0"/>
          <w:color w:val="auto"/>
        </w:rPr>
        <w:t xml:space="preserve">ESM </w:t>
      </w:r>
      <w:r w:rsidRPr="00A41BDE">
        <w:rPr>
          <w:b w:val="0"/>
          <w:color w:val="auto"/>
        </w:rPr>
        <w:t>guidelines) that was awarded not more than 12 months prior to the date of their application.</w:t>
      </w:r>
    </w:p>
    <w:p w:rsidR="00105132" w:rsidRPr="002F37F9" w:rsidRDefault="00105132" w:rsidP="00960FF1">
      <w:pPr>
        <w:pStyle w:val="AHPRASubhead"/>
        <w:spacing w:before="200" w:after="0"/>
        <w:rPr>
          <w:b w:val="0"/>
          <w:color w:val="auto"/>
        </w:rPr>
      </w:pPr>
      <w:r w:rsidRPr="002F37F9">
        <w:rPr>
          <w:color w:val="auto"/>
        </w:rPr>
        <w:t>Supervised practice</w:t>
      </w:r>
      <w:r w:rsidRPr="002F37F9">
        <w:rPr>
          <w:b w:val="0"/>
          <w:color w:val="auto"/>
        </w:rPr>
        <w:t xml:space="preserve"> for the purpose of Pathway </w:t>
      </w:r>
      <w:r w:rsidR="00893BBB" w:rsidRPr="002F37F9">
        <w:rPr>
          <w:b w:val="0"/>
          <w:color w:val="auto"/>
        </w:rPr>
        <w:t xml:space="preserve">B </w:t>
      </w:r>
      <w:r w:rsidRPr="002F37F9">
        <w:rPr>
          <w:b w:val="0"/>
          <w:color w:val="auto"/>
        </w:rPr>
        <w:t xml:space="preserve">means the observational clinical </w:t>
      </w:r>
      <w:r w:rsidR="00742A63" w:rsidRPr="002F37F9">
        <w:rPr>
          <w:b w:val="0"/>
          <w:color w:val="auto"/>
        </w:rPr>
        <w:t xml:space="preserve">sessions </w:t>
      </w:r>
      <w:r w:rsidRPr="002F37F9">
        <w:rPr>
          <w:b w:val="0"/>
          <w:color w:val="auto"/>
        </w:rPr>
        <w:t>undertaken by a registered podiatrist or podiatric surgeon</w:t>
      </w:r>
      <w:r w:rsidR="00F933DF" w:rsidRPr="002F37F9">
        <w:rPr>
          <w:b w:val="0"/>
          <w:color w:val="auto"/>
        </w:rPr>
        <w:t xml:space="preserve"> with a</w:t>
      </w:r>
      <w:r w:rsidR="00801F98" w:rsidRPr="002F37F9">
        <w:rPr>
          <w:b w:val="0"/>
          <w:color w:val="auto"/>
        </w:rPr>
        <w:t>n</w:t>
      </w:r>
      <w:r w:rsidR="00F933DF" w:rsidRPr="002F37F9">
        <w:rPr>
          <w:b w:val="0"/>
          <w:color w:val="auto"/>
        </w:rPr>
        <w:t xml:space="preserve"> </w:t>
      </w:r>
      <w:r w:rsidR="00801F98" w:rsidRPr="002F37F9">
        <w:rPr>
          <w:b w:val="0"/>
          <w:color w:val="auto"/>
        </w:rPr>
        <w:t xml:space="preserve">experienced health practitioner </w:t>
      </w:r>
      <w:r w:rsidR="00966A66">
        <w:rPr>
          <w:b w:val="0"/>
          <w:color w:val="auto"/>
        </w:rPr>
        <w:t xml:space="preserve">(attending clinician) </w:t>
      </w:r>
      <w:r w:rsidR="00801F98" w:rsidRPr="002F37F9">
        <w:rPr>
          <w:b w:val="0"/>
          <w:color w:val="auto"/>
        </w:rPr>
        <w:t xml:space="preserve">who can prescribe scheduled medicines </w:t>
      </w:r>
      <w:r w:rsidRPr="002F37F9">
        <w:rPr>
          <w:b w:val="0"/>
          <w:color w:val="auto"/>
        </w:rPr>
        <w:t>in a range of prescribing environments</w:t>
      </w:r>
      <w:r w:rsidR="008452F7">
        <w:rPr>
          <w:b w:val="0"/>
          <w:color w:val="auto"/>
        </w:rPr>
        <w:t xml:space="preserve"> </w:t>
      </w:r>
      <w:r w:rsidR="0015577B" w:rsidRPr="002F37F9">
        <w:rPr>
          <w:b w:val="0"/>
          <w:color w:val="auto"/>
        </w:rPr>
        <w:t>that meets the requirements of this registration standard and the ESM guidelines</w:t>
      </w:r>
      <w:r w:rsidR="0015577B" w:rsidRPr="00A41BDE">
        <w:rPr>
          <w:b w:val="0"/>
          <w:color w:val="auto"/>
        </w:rPr>
        <w:t>.</w:t>
      </w:r>
      <w:r w:rsidR="0015577B">
        <w:t xml:space="preserve"> </w:t>
      </w:r>
      <w:r w:rsidR="00F933DF" w:rsidRPr="002F37F9">
        <w:rPr>
          <w:b w:val="0"/>
          <w:color w:val="auto"/>
        </w:rPr>
        <w:t xml:space="preserve">The supervised practice also </w:t>
      </w:r>
      <w:r w:rsidRPr="002F37F9">
        <w:rPr>
          <w:b w:val="0"/>
          <w:color w:val="auto"/>
        </w:rPr>
        <w:t>encompass</w:t>
      </w:r>
      <w:r w:rsidR="00F933DF" w:rsidRPr="002F37F9">
        <w:rPr>
          <w:b w:val="0"/>
          <w:color w:val="auto"/>
        </w:rPr>
        <w:t>es</w:t>
      </w:r>
      <w:r w:rsidRPr="002F37F9">
        <w:rPr>
          <w:b w:val="0"/>
          <w:color w:val="auto"/>
        </w:rPr>
        <w:t xml:space="preserve"> reflective practice and </w:t>
      </w:r>
      <w:r w:rsidR="001575C9">
        <w:rPr>
          <w:b w:val="0"/>
          <w:color w:val="auto"/>
        </w:rPr>
        <w:t>meetings</w:t>
      </w:r>
      <w:r w:rsidR="001575C9" w:rsidRPr="002F37F9">
        <w:rPr>
          <w:b w:val="0"/>
          <w:color w:val="auto"/>
        </w:rPr>
        <w:t xml:space="preserve"> </w:t>
      </w:r>
      <w:r w:rsidRPr="002F37F9">
        <w:rPr>
          <w:b w:val="0"/>
          <w:color w:val="auto"/>
        </w:rPr>
        <w:t xml:space="preserve">with </w:t>
      </w:r>
      <w:r w:rsidR="00E87E82" w:rsidRPr="002F37F9">
        <w:rPr>
          <w:b w:val="0"/>
          <w:color w:val="auto"/>
        </w:rPr>
        <w:t xml:space="preserve">a </w:t>
      </w:r>
      <w:r w:rsidRPr="002F37F9">
        <w:rPr>
          <w:b w:val="0"/>
          <w:color w:val="auto"/>
        </w:rPr>
        <w:t>mentor</w:t>
      </w:r>
      <w:r w:rsidR="00742A63" w:rsidRPr="002F37F9">
        <w:rPr>
          <w:b w:val="0"/>
          <w:color w:val="auto"/>
        </w:rPr>
        <w:t>,</w:t>
      </w:r>
      <w:r w:rsidRPr="002F37F9">
        <w:rPr>
          <w:b w:val="0"/>
          <w:color w:val="auto"/>
        </w:rPr>
        <w:t xml:space="preserve"> culminating in a portfolio of evidence that meet</w:t>
      </w:r>
      <w:r w:rsidR="00DC47F7">
        <w:rPr>
          <w:b w:val="0"/>
          <w:color w:val="auto"/>
        </w:rPr>
        <w:t>s</w:t>
      </w:r>
      <w:r w:rsidRPr="002F37F9">
        <w:rPr>
          <w:b w:val="0"/>
          <w:color w:val="auto"/>
        </w:rPr>
        <w:t xml:space="preserve"> the requirements of this registration standard and the ESM guidelines.</w:t>
      </w:r>
    </w:p>
    <w:p w:rsidR="00105132" w:rsidRPr="00584608" w:rsidRDefault="00105132" w:rsidP="00105132">
      <w:pPr>
        <w:pStyle w:val="AHPRASubheading"/>
      </w:pPr>
      <w:r w:rsidRPr="00584608">
        <w:t>Review</w:t>
      </w:r>
    </w:p>
    <w:p w:rsidR="00105132" w:rsidRDefault="00105132" w:rsidP="00105132">
      <w:pPr>
        <w:pStyle w:val="AHPRAbody"/>
      </w:pPr>
      <w:r>
        <w:t>This registration standard will be reviewed from time to time as required. This will generally be at least every three years.</w:t>
      </w:r>
    </w:p>
    <w:p w:rsidR="00105132" w:rsidRDefault="00105132" w:rsidP="00105132">
      <w:pPr>
        <w:pStyle w:val="AHPRAbody"/>
      </w:pPr>
      <w:r w:rsidRPr="00002CD6">
        <w:t xml:space="preserve">Last reviewed: </w:t>
      </w:r>
      <w:r w:rsidR="00C5247E">
        <w:t>August 2018</w:t>
      </w:r>
    </w:p>
    <w:p w:rsidR="00105132" w:rsidRDefault="00105132" w:rsidP="00105132">
      <w:pPr>
        <w:pStyle w:val="AHPRAbody"/>
      </w:pPr>
      <w:r>
        <w:t xml:space="preserve">This standard replaces the previously published </w:t>
      </w:r>
      <w:r w:rsidRPr="00251592">
        <w:t>registration standard</w:t>
      </w:r>
      <w:r>
        <w:t xml:space="preserve"> dated 1 July 2010.</w:t>
      </w: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Default="00121D83" w:rsidP="00105132">
      <w:pPr>
        <w:pStyle w:val="AHPRAbody"/>
      </w:pPr>
    </w:p>
    <w:p w:rsidR="00121D83" w:rsidRPr="00ED5D61" w:rsidRDefault="00121D83" w:rsidP="00121D83">
      <w:pPr>
        <w:autoSpaceDE w:val="0"/>
        <w:autoSpaceDN w:val="0"/>
        <w:adjustRightInd w:val="0"/>
        <w:outlineLvl w:val="0"/>
        <w:rPr>
          <w:rFonts w:cs="Arial"/>
          <w:b/>
        </w:rPr>
      </w:pPr>
      <w:r w:rsidRPr="00ED5D61">
        <w:rPr>
          <w:rFonts w:cs="Arial"/>
          <w:b/>
        </w:rPr>
        <w:lastRenderedPageBreak/>
        <w:t>Attachment A</w:t>
      </w:r>
      <w:r>
        <w:rPr>
          <w:rFonts w:cs="Arial"/>
          <w:b/>
        </w:rPr>
        <w:t xml:space="preserve"> to </w:t>
      </w:r>
      <w:r w:rsidRPr="001F5382">
        <w:rPr>
          <w:rFonts w:cs="Arial"/>
          <w:b/>
          <w:i/>
        </w:rPr>
        <w:t>Registration standard: Endorsement for scheduled medicines</w:t>
      </w:r>
    </w:p>
    <w:p w:rsidR="00121D83" w:rsidRPr="00AF60BF" w:rsidRDefault="00121D83" w:rsidP="00121D83">
      <w:pPr>
        <w:autoSpaceDE w:val="0"/>
        <w:autoSpaceDN w:val="0"/>
        <w:adjustRightInd w:val="0"/>
        <w:outlineLvl w:val="0"/>
        <w:rPr>
          <w:rFonts w:cs="Arial"/>
          <w:b/>
          <w:color w:val="008EC4"/>
          <w:sz w:val="22"/>
          <w:szCs w:val="22"/>
        </w:rPr>
      </w:pPr>
      <w:r w:rsidRPr="00AF60BF">
        <w:rPr>
          <w:rFonts w:cs="Arial"/>
          <w:b/>
          <w:color w:val="008EC4"/>
          <w:sz w:val="22"/>
          <w:szCs w:val="22"/>
        </w:rPr>
        <w:t>Introduction</w:t>
      </w:r>
    </w:p>
    <w:p w:rsidR="00121D83" w:rsidRPr="00ED5D61" w:rsidRDefault="00121D83" w:rsidP="00121D83">
      <w:pPr>
        <w:pStyle w:val="AHPRAbody"/>
      </w:pPr>
      <w:r w:rsidRPr="00ED5D61">
        <w:t xml:space="preserve">The </w:t>
      </w:r>
      <w:r w:rsidRPr="00C578CE">
        <w:rPr>
          <w:i/>
        </w:rPr>
        <w:t xml:space="preserve">National </w:t>
      </w:r>
      <w:r w:rsidR="00254CD3" w:rsidRPr="00C578CE">
        <w:rPr>
          <w:i/>
        </w:rPr>
        <w:t>p</w:t>
      </w:r>
      <w:r w:rsidRPr="00C578CE">
        <w:rPr>
          <w:i/>
        </w:rPr>
        <w:t xml:space="preserve">odiatry </w:t>
      </w:r>
      <w:r w:rsidR="00987BEC" w:rsidRPr="00C578CE">
        <w:rPr>
          <w:i/>
        </w:rPr>
        <w:t>s</w:t>
      </w:r>
      <w:r w:rsidRPr="00C578CE">
        <w:rPr>
          <w:i/>
        </w:rPr>
        <w:t xml:space="preserve">cheduled </w:t>
      </w:r>
      <w:r w:rsidR="00987BEC" w:rsidRPr="00C578CE">
        <w:rPr>
          <w:i/>
        </w:rPr>
        <w:t>m</w:t>
      </w:r>
      <w:r w:rsidRPr="00C578CE">
        <w:rPr>
          <w:i/>
        </w:rPr>
        <w:t xml:space="preserve">edicines </w:t>
      </w:r>
      <w:r w:rsidR="00987BEC" w:rsidRPr="00C578CE">
        <w:rPr>
          <w:i/>
        </w:rPr>
        <w:t>l</w:t>
      </w:r>
      <w:r w:rsidRPr="00C578CE">
        <w:rPr>
          <w:i/>
        </w:rPr>
        <w:t>ist</w:t>
      </w:r>
      <w:r w:rsidRPr="00ED5D61">
        <w:t xml:space="preserve"> specifies the Schedule 2, 3, 4 and 8 medicines that podiatrists and podiatric surgeons whose registration has been endorsed for scheduled medicines by the Podiatry Board of Australia </w:t>
      </w:r>
      <w:r>
        <w:t xml:space="preserve">(Board) </w:t>
      </w:r>
      <w:r w:rsidRPr="00ED5D61">
        <w:t xml:space="preserve">are </w:t>
      </w:r>
      <w:r w:rsidRPr="00ED5D61">
        <w:rPr>
          <w:b/>
        </w:rPr>
        <w:t xml:space="preserve">qualified </w:t>
      </w:r>
      <w:r w:rsidRPr="00ED5D61">
        <w:t>to administer, obtain, possess, prescribe, sell, supply or use for the treatment of podiatric conditions.</w:t>
      </w:r>
    </w:p>
    <w:p w:rsidR="00121D83" w:rsidRPr="008838BC" w:rsidRDefault="00121D83" w:rsidP="00121D83">
      <w:pPr>
        <w:pStyle w:val="AHPRAbody"/>
      </w:pPr>
      <w:r>
        <w:t>Endorsed p</w:t>
      </w:r>
      <w:r w:rsidRPr="00ED5D61">
        <w:t xml:space="preserve">ractitioners may only administer, obtain, possess, prescribe, sell, supply or use the scheduled medicines in the </w:t>
      </w:r>
      <w:r w:rsidRPr="00ED5D61">
        <w:rPr>
          <w:i/>
        </w:rPr>
        <w:t xml:space="preserve">National </w:t>
      </w:r>
      <w:r w:rsidR="00254CD3">
        <w:rPr>
          <w:i/>
        </w:rPr>
        <w:t>p</w:t>
      </w:r>
      <w:r w:rsidRPr="00ED5D61">
        <w:rPr>
          <w:i/>
        </w:rPr>
        <w:t xml:space="preserve">odiatry </w:t>
      </w:r>
      <w:r w:rsidR="00987BEC">
        <w:rPr>
          <w:i/>
        </w:rPr>
        <w:t>s</w:t>
      </w:r>
      <w:r w:rsidRPr="00ED5D61">
        <w:rPr>
          <w:i/>
        </w:rPr>
        <w:t xml:space="preserve">cheduled </w:t>
      </w:r>
      <w:r w:rsidR="00987BEC">
        <w:rPr>
          <w:i/>
        </w:rPr>
        <w:t>m</w:t>
      </w:r>
      <w:r w:rsidRPr="00ED5D61">
        <w:rPr>
          <w:i/>
        </w:rPr>
        <w:t xml:space="preserve">edicines </w:t>
      </w:r>
      <w:r w:rsidR="00987BEC">
        <w:rPr>
          <w:i/>
        </w:rPr>
        <w:t>l</w:t>
      </w:r>
      <w:r w:rsidRPr="00ED5D61">
        <w:rPr>
          <w:i/>
        </w:rPr>
        <w:t>ist</w:t>
      </w:r>
      <w:r w:rsidRPr="00ED5D61">
        <w:t xml:space="preserve"> to the extent that they are </w:t>
      </w:r>
      <w:r w:rsidRPr="00ED5D61">
        <w:rPr>
          <w:b/>
        </w:rPr>
        <w:t xml:space="preserve">authorised </w:t>
      </w:r>
      <w:r w:rsidRPr="00ED5D61">
        <w:t>by the relevant drugs and poisons legislation and regulations in the state or territory in which they are practising.</w:t>
      </w:r>
      <w:r>
        <w:t xml:space="preserve"> </w:t>
      </w:r>
      <w:r w:rsidRPr="008838BC">
        <w:t>This includes ensuring they comply with relevant state or territory drugs and poisons legislation relating to the secure storage, labelling, record-keeping, disposal, loss or theft of medicines in their possession</w:t>
      </w:r>
      <w:r w:rsidR="00BB36E0">
        <w:t>.</w:t>
      </w:r>
    </w:p>
    <w:p w:rsidR="00121D83" w:rsidRDefault="00121D83" w:rsidP="00121D83">
      <w:pPr>
        <w:pStyle w:val="AHPRAbody"/>
      </w:pPr>
      <w:r w:rsidRPr="00ED5D61">
        <w:t xml:space="preserve">The list is collated into </w:t>
      </w:r>
      <w:r w:rsidR="00987BEC">
        <w:t>t</w:t>
      </w:r>
      <w:r>
        <w:t xml:space="preserve">herapeutic </w:t>
      </w:r>
      <w:r w:rsidRPr="00ED5D61">
        <w:t>classes of medicines</w:t>
      </w:r>
      <w:r>
        <w:t xml:space="preserve"> and further sub-divided into sub-classes.</w:t>
      </w:r>
      <w:r w:rsidRPr="00ED5D61">
        <w:t xml:space="preserve"> Certain medicines (or routes of administration) are restricted to podiatric surgeons who have a demonstrated clinical need to use those medicines</w:t>
      </w:r>
      <w:r>
        <w:t>.</w:t>
      </w:r>
    </w:p>
    <w:p w:rsidR="00121D83" w:rsidRDefault="00121D83" w:rsidP="00121D83">
      <w:pPr>
        <w:pStyle w:val="AHPRAbody"/>
      </w:pPr>
      <w:r w:rsidRPr="006F6928">
        <w:t>Therapeutic Goods Administration (TGA)</w:t>
      </w:r>
      <w:r>
        <w:rPr>
          <w:sz w:val="18"/>
          <w:szCs w:val="18"/>
        </w:rPr>
        <w:t xml:space="preserve"> </w:t>
      </w:r>
      <w:r w:rsidRPr="00E033BF">
        <w:t>approved routes, doses or indications should be used</w:t>
      </w:r>
      <w:r>
        <w:t xml:space="preserve">, according to the Approved Product Information. </w:t>
      </w:r>
    </w:p>
    <w:p w:rsidR="00121D83" w:rsidRPr="008838BC" w:rsidRDefault="00121D83" w:rsidP="00121D83">
      <w:pPr>
        <w:pStyle w:val="AHPRAbody"/>
        <w:rPr>
          <w:szCs w:val="20"/>
        </w:rPr>
      </w:pPr>
      <w:r w:rsidRPr="008838BC">
        <w:rPr>
          <w:szCs w:val="20"/>
        </w:rPr>
        <w:t xml:space="preserve">In line with the principles of Quality Use of Medicines (QUM) and specifically shared care, if a podiatrist or podiatric surgeon with endorsement for scheduled medicines is initiating a medicine, communication with the patient’s nominated medical practitioner(s) is essential regarding the treatment and expected outcome. </w:t>
      </w:r>
    </w:p>
    <w:p w:rsidR="00121D83" w:rsidRDefault="00121D83" w:rsidP="00121D83">
      <w:pPr>
        <w:pStyle w:val="AHPRAbody"/>
        <w:rPr>
          <w:szCs w:val="20"/>
        </w:rPr>
      </w:pPr>
      <w:r w:rsidRPr="00ED5D61">
        <w:rPr>
          <w:szCs w:val="20"/>
        </w:rPr>
        <w:t xml:space="preserve">When incorporating scheduled medicines into a patient care plan, podiatrists and podiatric surgeons should utilise resources </w:t>
      </w:r>
      <w:r>
        <w:rPr>
          <w:szCs w:val="20"/>
        </w:rPr>
        <w:t>which inform evidence</w:t>
      </w:r>
      <w:r w:rsidR="00254CD3">
        <w:rPr>
          <w:szCs w:val="20"/>
        </w:rPr>
        <w:t>-</w:t>
      </w:r>
      <w:r>
        <w:rPr>
          <w:szCs w:val="20"/>
        </w:rPr>
        <w:t>based practice and</w:t>
      </w:r>
      <w:r w:rsidRPr="00ED5D61">
        <w:rPr>
          <w:szCs w:val="20"/>
        </w:rPr>
        <w:t xml:space="preserve"> support contemporary and appropriate use of </w:t>
      </w:r>
      <w:r>
        <w:rPr>
          <w:szCs w:val="20"/>
        </w:rPr>
        <w:t>scheduled</w:t>
      </w:r>
      <w:r w:rsidRPr="00ED5D61">
        <w:rPr>
          <w:szCs w:val="20"/>
        </w:rPr>
        <w:t xml:space="preserve"> medicines. </w:t>
      </w:r>
    </w:p>
    <w:p w:rsidR="00121D83" w:rsidRDefault="00121D83" w:rsidP="00121D83">
      <w:pPr>
        <w:pStyle w:val="AHPRAbody"/>
      </w:pPr>
      <w:r>
        <w:t xml:space="preserve">Practitioners should be familiar with the Australian Register of Therapeutic Goods (ARTG) </w:t>
      </w:r>
      <w:hyperlink r:id="rId10" w:history="1">
        <w:r w:rsidRPr="006F7AA2">
          <w:rPr>
            <w:rStyle w:val="Hyperlink"/>
          </w:rPr>
          <w:t>https://www.tga.gov.au/australian-register-therapeutic-goods</w:t>
        </w:r>
      </w:hyperlink>
      <w:r>
        <w:t xml:space="preserve"> and the requirements for any exemptions under the </w:t>
      </w:r>
      <w:r w:rsidRPr="008F3A39">
        <w:t>Special Access Scheme (SAS) and the Authorised Prescriber Scheme (AP)</w:t>
      </w:r>
      <w:r>
        <w:t xml:space="preserve"> for medicines that are not included on the ARTG</w:t>
      </w:r>
      <w:r w:rsidRPr="008F3A39">
        <w:t>.</w:t>
      </w:r>
    </w:p>
    <w:p w:rsidR="00121D83" w:rsidRDefault="00121D83" w:rsidP="00121D83">
      <w:pPr>
        <w:pStyle w:val="AHPRAbody"/>
        <w:rPr>
          <w:szCs w:val="20"/>
        </w:rPr>
      </w:pPr>
      <w:r w:rsidRPr="00ED5D61">
        <w:rPr>
          <w:szCs w:val="20"/>
        </w:rPr>
        <w:t>Various res</w:t>
      </w:r>
      <w:r>
        <w:rPr>
          <w:szCs w:val="20"/>
        </w:rPr>
        <w:t xml:space="preserve">ources are utilised by podiatrists and podiatric </w:t>
      </w:r>
      <w:proofErr w:type="gramStart"/>
      <w:r>
        <w:rPr>
          <w:szCs w:val="20"/>
        </w:rPr>
        <w:t xml:space="preserve">surgeons </w:t>
      </w:r>
      <w:r w:rsidRPr="00ED5D61">
        <w:rPr>
          <w:szCs w:val="20"/>
        </w:rPr>
        <w:t xml:space="preserve"> to</w:t>
      </w:r>
      <w:proofErr w:type="gramEnd"/>
      <w:r w:rsidRPr="00ED5D61">
        <w:rPr>
          <w:szCs w:val="20"/>
        </w:rPr>
        <w:t xml:space="preserve"> underpin and support the best possible use of medicines in podiatric practice. </w:t>
      </w:r>
      <w:r>
        <w:rPr>
          <w:szCs w:val="20"/>
        </w:rPr>
        <w:t xml:space="preserve"> </w:t>
      </w:r>
    </w:p>
    <w:p w:rsidR="00121D83" w:rsidRDefault="00121D83" w:rsidP="00121D83">
      <w:pPr>
        <w:pStyle w:val="AHPRAbody"/>
      </w:pPr>
      <w:r w:rsidRPr="00967146">
        <w:t>References used should be the most current editions to ensure your knowledge is current</w:t>
      </w:r>
      <w:r>
        <w:t>.</w:t>
      </w:r>
      <w:r>
        <w:rPr>
          <w:rStyle w:val="FootnoteReference"/>
        </w:rPr>
        <w:footnoteReference w:id="5"/>
      </w:r>
      <w:r w:rsidRPr="00ED5D61">
        <w:t xml:space="preserve"> </w:t>
      </w:r>
      <w:r>
        <w:t>Some of the following references are essential:</w:t>
      </w:r>
      <w:r w:rsidRPr="00ED5D61">
        <w:t xml:space="preserve"> </w:t>
      </w:r>
    </w:p>
    <w:p w:rsidR="00121D83" w:rsidRPr="00665715" w:rsidRDefault="00121D83" w:rsidP="00121D83">
      <w:pPr>
        <w:rPr>
          <w:rFonts w:cs="Arial"/>
          <w:b/>
          <w:szCs w:val="20"/>
        </w:rPr>
      </w:pPr>
      <w:r w:rsidRPr="00665715">
        <w:rPr>
          <w:rFonts w:cs="Arial"/>
          <w:b/>
          <w:szCs w:val="20"/>
        </w:rPr>
        <w:t>Essential references</w:t>
      </w:r>
    </w:p>
    <w:p w:rsidR="00121D83" w:rsidRDefault="00121D83" w:rsidP="00121D83">
      <w:pPr>
        <w:pStyle w:val="AHPRABulletlevel1last"/>
      </w:pPr>
      <w:r w:rsidRPr="00A314CE">
        <w:t>Australian Medicines Handbook</w:t>
      </w:r>
      <w:r>
        <w:br/>
      </w:r>
      <w:hyperlink r:id="rId11" w:history="1">
        <w:r w:rsidRPr="00C83739">
          <w:rPr>
            <w:rStyle w:val="Hyperlink"/>
            <w:szCs w:val="20"/>
          </w:rPr>
          <w:t>https://shop.amh.net.au/products/electronic/down-2015</w:t>
        </w:r>
      </w:hyperlink>
    </w:p>
    <w:p w:rsidR="00121D83" w:rsidRDefault="00121D83" w:rsidP="00121D83">
      <w:pPr>
        <w:pStyle w:val="AHPRABulletlevel1last"/>
      </w:pPr>
      <w:r>
        <w:t xml:space="preserve">Therapeutic Guidelines </w:t>
      </w:r>
      <w:r w:rsidRPr="00D27BFC">
        <w:t>(</w:t>
      </w:r>
      <w:proofErr w:type="spellStart"/>
      <w:r w:rsidRPr="00D27BFC">
        <w:t>eTG</w:t>
      </w:r>
      <w:proofErr w:type="spellEnd"/>
      <w:r w:rsidRPr="00D27BFC">
        <w:t xml:space="preserve"> </w:t>
      </w:r>
      <w:r w:rsidRPr="0072617C">
        <w:t>and latest hard copy versions</w:t>
      </w:r>
      <w:r w:rsidRPr="00D27BFC">
        <w:t xml:space="preserve">) </w:t>
      </w:r>
      <w:r w:rsidRPr="0072617C">
        <w:t>– relevant to your practice</w:t>
      </w:r>
      <w:r>
        <w:br/>
      </w:r>
      <w:hyperlink r:id="rId12" w:history="1">
        <w:r w:rsidRPr="0072617C">
          <w:rPr>
            <w:rStyle w:val="Hyperlink"/>
            <w:i/>
            <w:szCs w:val="20"/>
          </w:rPr>
          <w:t>http://www.tg.org.au/</w:t>
        </w:r>
      </w:hyperlink>
    </w:p>
    <w:p w:rsidR="00121D83" w:rsidRDefault="00121D83" w:rsidP="00121D83">
      <w:pPr>
        <w:pStyle w:val="AHPRABulletlevel1last"/>
      </w:pPr>
      <w:r w:rsidRPr="0072617C">
        <w:t>NPS MedicineWise</w:t>
      </w:r>
      <w:r w:rsidRPr="00D27BFC">
        <w:br/>
      </w:r>
      <w:hyperlink r:id="rId13" w:history="1">
        <w:r w:rsidRPr="0072617C">
          <w:rPr>
            <w:rStyle w:val="Hyperlink"/>
            <w:szCs w:val="20"/>
          </w:rPr>
          <w:t>www.nps.org.au</w:t>
        </w:r>
      </w:hyperlink>
    </w:p>
    <w:p w:rsidR="00121D83" w:rsidRDefault="00121D83" w:rsidP="00121D83">
      <w:pPr>
        <w:pStyle w:val="AHPRABulletlevel1last"/>
      </w:pPr>
      <w:r w:rsidRPr="00D27BFC">
        <w:t>MIMS Australia</w:t>
      </w:r>
      <w:r>
        <w:br/>
      </w:r>
      <w:hyperlink r:id="rId14" w:history="1">
        <w:r w:rsidRPr="003E0779">
          <w:rPr>
            <w:rStyle w:val="Hyperlink"/>
          </w:rPr>
          <w:t>http://www.mims.com.au/</w:t>
        </w:r>
      </w:hyperlink>
    </w:p>
    <w:p w:rsidR="00121D83" w:rsidRDefault="00121D83" w:rsidP="00121D83">
      <w:pPr>
        <w:pStyle w:val="AHPRABulletlevel1last"/>
      </w:pPr>
      <w:r w:rsidRPr="00D27BFC">
        <w:rPr>
          <w:i/>
        </w:rPr>
        <w:lastRenderedPageBreak/>
        <w:t>MIMS online</w:t>
      </w:r>
      <w:r w:rsidRPr="00D27BFC">
        <w:rPr>
          <w:i/>
        </w:rPr>
        <w:br/>
      </w:r>
      <w:hyperlink r:id="rId15" w:history="1">
        <w:r w:rsidRPr="00D27BFC">
          <w:rPr>
            <w:rStyle w:val="Hyperlink"/>
            <w:i/>
          </w:rPr>
          <w:t>http://www.mims.com.au/index.php/products/mims-online</w:t>
        </w:r>
      </w:hyperlink>
    </w:p>
    <w:p w:rsidR="00121D83" w:rsidRPr="00665715" w:rsidRDefault="00121D83" w:rsidP="00121D83">
      <w:pPr>
        <w:rPr>
          <w:rFonts w:cs="Arial"/>
          <w:b/>
          <w:szCs w:val="20"/>
        </w:rPr>
      </w:pPr>
      <w:r w:rsidRPr="00665715">
        <w:rPr>
          <w:rFonts w:cs="Arial"/>
          <w:b/>
          <w:szCs w:val="20"/>
        </w:rPr>
        <w:t>Additional useful references</w:t>
      </w:r>
    </w:p>
    <w:p w:rsidR="00121D83" w:rsidRDefault="00121D83" w:rsidP="00121D83">
      <w:pPr>
        <w:pStyle w:val="AHPRABulletlevel1last"/>
      </w:pPr>
      <w:r w:rsidRPr="0072617C">
        <w:t>Quality Use of Medicines (QUM)</w:t>
      </w:r>
      <w:r w:rsidRPr="00D27BFC">
        <w:br/>
      </w:r>
      <w:hyperlink r:id="rId16" w:history="1">
        <w:r w:rsidRPr="00D27BFC">
          <w:rPr>
            <w:rStyle w:val="Hyperlink"/>
            <w:i/>
          </w:rPr>
          <w:t>http://www.health.gov.au/internet/main/publishing.nsf/content/nmp-quality.htm</w:t>
        </w:r>
      </w:hyperlink>
    </w:p>
    <w:p w:rsidR="00121D83" w:rsidRPr="003E0779" w:rsidRDefault="00121D83" w:rsidP="00121D83">
      <w:pPr>
        <w:pStyle w:val="AHPRABulletlevel1last"/>
      </w:pPr>
      <w:r w:rsidRPr="0072617C">
        <w:t>Antimicrobial stewardship</w:t>
      </w:r>
      <w:r w:rsidRPr="0072617C">
        <w:br/>
      </w:r>
      <w:hyperlink r:id="rId17" w:history="1">
        <w:r w:rsidRPr="003E0779">
          <w:rPr>
            <w:rStyle w:val="Hyperlink"/>
          </w:rPr>
          <w:t>http://www.safetyandquality.gov.au/our-work/healthcare-associated-infection/antimicrobial-stewardship/</w:t>
        </w:r>
      </w:hyperlink>
    </w:p>
    <w:p w:rsidR="00121D83" w:rsidRDefault="00121D83" w:rsidP="00121D83">
      <w:pPr>
        <w:pStyle w:val="AHPRABulletlevel1last"/>
      </w:pPr>
      <w:r w:rsidRPr="00D27BFC">
        <w:t>TGA Medicines Safety Update</w:t>
      </w:r>
      <w:r w:rsidRPr="003E0779">
        <w:t xml:space="preserve">  </w:t>
      </w:r>
      <w:r w:rsidRPr="003E0779">
        <w:br/>
      </w:r>
      <w:hyperlink r:id="rId18" w:history="1">
        <w:r w:rsidRPr="003E0779">
          <w:rPr>
            <w:rStyle w:val="Hyperlink"/>
          </w:rPr>
          <w:t>https://www.tga.gov.au/publication/medicines-safety-update</w:t>
        </w:r>
      </w:hyperlink>
    </w:p>
    <w:p w:rsidR="00121D83" w:rsidRPr="00722F57" w:rsidRDefault="00121D83" w:rsidP="00121D83">
      <w:pPr>
        <w:pStyle w:val="AHPRABulletlevel1last"/>
        <w:rPr>
          <w:rStyle w:val="Hyperlink"/>
          <w:rFonts w:cs="Arial"/>
          <w:szCs w:val="20"/>
        </w:rPr>
      </w:pPr>
      <w:r>
        <w:t>TGA</w:t>
      </w:r>
      <w:r>
        <w:rPr>
          <w:rStyle w:val="FootnoteReference"/>
        </w:rPr>
        <w:footnoteReference w:id="6"/>
      </w:r>
      <w:r>
        <w:br/>
      </w:r>
      <w:hyperlink r:id="rId19" w:history="1">
        <w:r w:rsidRPr="00722F57">
          <w:rPr>
            <w:rStyle w:val="Hyperlink"/>
            <w:rFonts w:cs="Arial"/>
            <w:szCs w:val="20"/>
          </w:rPr>
          <w:t>https://www.tga.gov.au/</w:t>
        </w:r>
      </w:hyperlink>
    </w:p>
    <w:p w:rsidR="00121D83" w:rsidRDefault="00121D83" w:rsidP="00121D83">
      <w:pPr>
        <w:pStyle w:val="AHPRABulletlevel1last"/>
      </w:pPr>
      <w:r w:rsidRPr="00D27BFC">
        <w:t xml:space="preserve">Medication safety </w:t>
      </w:r>
      <w:r w:rsidR="00254CD3">
        <w:rPr>
          <w:rFonts w:cs="Arial"/>
        </w:rPr>
        <w:t>‒</w:t>
      </w:r>
      <w:r w:rsidRPr="00D27BFC">
        <w:t xml:space="preserve"> Australian Commission on Safety and Quality in Health Care</w:t>
      </w:r>
      <w:r w:rsidRPr="0072617C">
        <w:br/>
      </w:r>
      <w:hyperlink r:id="rId20" w:history="1">
        <w:r w:rsidRPr="004E7F5D">
          <w:rPr>
            <w:rStyle w:val="Hyperlink"/>
          </w:rPr>
          <w:t>https://www.safetyandquality.gov.au/our-work/medication-safety/</w:t>
        </w:r>
      </w:hyperlink>
    </w:p>
    <w:p w:rsidR="00121D83" w:rsidRDefault="00121D83" w:rsidP="00121D83">
      <w:pPr>
        <w:pStyle w:val="AHPRABulletlevel1last"/>
        <w:rPr>
          <w:rFonts w:ascii="Segoe UI" w:hAnsi="Segoe UI" w:cs="Segoe UI"/>
          <w:color w:val="000000"/>
        </w:rPr>
      </w:pPr>
      <w:r w:rsidRPr="00D27BFC">
        <w:t>Choosing Wisely Australia</w:t>
      </w:r>
      <w:r>
        <w:br/>
      </w:r>
      <w:hyperlink r:id="rId21" w:history="1">
        <w:r w:rsidRPr="003E0779">
          <w:rPr>
            <w:rStyle w:val="Hyperlink"/>
          </w:rPr>
          <w:t>http://www.choosingwisely.org.au/home</w:t>
        </w:r>
      </w:hyperlink>
    </w:p>
    <w:p w:rsidR="00121D83" w:rsidRDefault="00121D83" w:rsidP="00121D83">
      <w:pPr>
        <w:pStyle w:val="AHPRASubheading"/>
      </w:pPr>
      <w:r w:rsidRPr="000E73EB">
        <w:t>Scheduling</w:t>
      </w:r>
    </w:p>
    <w:p w:rsidR="00121D83" w:rsidRDefault="00121D83" w:rsidP="00121D83">
      <w:pPr>
        <w:pStyle w:val="FootnoteText"/>
        <w:rPr>
          <w:sz w:val="20"/>
        </w:rPr>
      </w:pPr>
      <w:r w:rsidRPr="00D27BFC">
        <w:rPr>
          <w:sz w:val="20"/>
        </w:rPr>
        <w:t>Medicines and poisons are classified into Schedules according to the level of regulatory control over the availability of the medicine or poison, required to protect public health and safety.</w:t>
      </w:r>
    </w:p>
    <w:p w:rsidR="00121D83" w:rsidRPr="0050405D" w:rsidRDefault="00121D83" w:rsidP="00121D83">
      <w:pPr>
        <w:pStyle w:val="FootnoteText"/>
        <w:spacing w:after="240"/>
        <w:rPr>
          <w:sz w:val="20"/>
        </w:rPr>
      </w:pPr>
      <w:r w:rsidRPr="00D27BFC">
        <w:rPr>
          <w:rFonts w:cs="Arial"/>
          <w:sz w:val="20"/>
          <w:szCs w:val="24"/>
        </w:rPr>
        <w:t xml:space="preserve">The Schedules are published in the </w:t>
      </w:r>
      <w:r w:rsidRPr="00D27BFC">
        <w:rPr>
          <w:rFonts w:cs="Arial"/>
          <w:i/>
          <w:sz w:val="20"/>
          <w:szCs w:val="24"/>
        </w:rPr>
        <w:t>Standard for the Uniform Scheduling of Medicines and Poisons</w:t>
      </w:r>
      <w:r w:rsidRPr="00D27BFC">
        <w:rPr>
          <w:rFonts w:cs="Arial"/>
          <w:sz w:val="20"/>
          <w:szCs w:val="24"/>
        </w:rPr>
        <w:t xml:space="preserve"> (SUSMP) </w:t>
      </w:r>
      <w:r w:rsidR="00987BEC">
        <w:rPr>
          <w:rFonts w:cs="Arial"/>
          <w:sz w:val="20"/>
          <w:szCs w:val="24"/>
        </w:rPr>
        <w:t>‒</w:t>
      </w:r>
      <w:r w:rsidRPr="00D27BFC">
        <w:rPr>
          <w:rFonts w:cs="Arial"/>
          <w:sz w:val="20"/>
          <w:szCs w:val="24"/>
        </w:rPr>
        <w:t xml:space="preserve"> referred to as the </w:t>
      </w:r>
      <w:r w:rsidRPr="00D27BFC">
        <w:rPr>
          <w:rFonts w:cs="Arial"/>
          <w:i/>
          <w:sz w:val="20"/>
          <w:szCs w:val="24"/>
        </w:rPr>
        <w:t>Poisons Standard</w:t>
      </w:r>
      <w:r w:rsidRPr="00D27BFC">
        <w:rPr>
          <w:rFonts w:cs="Arial"/>
          <w:sz w:val="20"/>
          <w:szCs w:val="24"/>
        </w:rPr>
        <w:t>.</w:t>
      </w:r>
      <w:r>
        <w:rPr>
          <w:rStyle w:val="FootnoteReference"/>
          <w:rFonts w:cs="Arial"/>
          <w:szCs w:val="24"/>
        </w:rPr>
        <w:footnoteReference w:id="7"/>
      </w:r>
      <w:r>
        <w:rPr>
          <w:rFonts w:cs="Arial"/>
          <w:sz w:val="20"/>
          <w:szCs w:val="24"/>
        </w:rPr>
        <w:t xml:space="preserve"> </w:t>
      </w:r>
      <w:r w:rsidRPr="0050405D">
        <w:rPr>
          <w:sz w:val="20"/>
        </w:rPr>
        <w:t xml:space="preserve">The schedules relevant to the </w:t>
      </w:r>
      <w:r w:rsidR="000F2030" w:rsidRPr="000F2030">
        <w:rPr>
          <w:i/>
          <w:sz w:val="20"/>
        </w:rPr>
        <w:t>National podiatry scheduled medicines list</w:t>
      </w:r>
      <w:r w:rsidRPr="0050405D">
        <w:rPr>
          <w:sz w:val="20"/>
        </w:rPr>
        <w:t xml:space="preserve"> are:</w:t>
      </w:r>
    </w:p>
    <w:tbl>
      <w:tblPr>
        <w:tblStyle w:val="TableGrid"/>
        <w:tblW w:w="0" w:type="auto"/>
        <w:tblInd w:w="108" w:type="dxa"/>
        <w:tblLook w:val="04A0" w:firstRow="1" w:lastRow="0" w:firstColumn="1" w:lastColumn="0" w:noHBand="0" w:noVBand="1"/>
      </w:tblPr>
      <w:tblGrid>
        <w:gridCol w:w="1701"/>
        <w:gridCol w:w="7433"/>
      </w:tblGrid>
      <w:tr w:rsidR="00121D83" w:rsidRPr="00EE397F" w:rsidTr="008E256E">
        <w:tc>
          <w:tcPr>
            <w:tcW w:w="1701" w:type="dxa"/>
          </w:tcPr>
          <w:p w:rsidR="00121D83" w:rsidRPr="00C83739" w:rsidRDefault="00121D83" w:rsidP="008E256E">
            <w:pPr>
              <w:pStyle w:val="AHPRAtabletext"/>
              <w:rPr>
                <w:rStyle w:val="Hyperlink"/>
                <w:sz w:val="18"/>
              </w:rPr>
            </w:pPr>
            <w:r w:rsidRPr="00C83739">
              <w:t>Schedule 2</w:t>
            </w:r>
          </w:p>
        </w:tc>
        <w:tc>
          <w:tcPr>
            <w:tcW w:w="7433" w:type="dxa"/>
          </w:tcPr>
          <w:p w:rsidR="00121D83" w:rsidRDefault="00121D83" w:rsidP="008E256E">
            <w:pPr>
              <w:pStyle w:val="AHPRAtabletext"/>
              <w:rPr>
                <w:rStyle w:val="Hyperlink"/>
                <w:color w:val="000000"/>
                <w:sz w:val="18"/>
              </w:rPr>
            </w:pPr>
            <w:r w:rsidRPr="000E73EB">
              <w:rPr>
                <w:b/>
              </w:rPr>
              <w:t>Pharmacy Medicine</w:t>
            </w:r>
            <w:r>
              <w:t xml:space="preserve"> – </w:t>
            </w:r>
            <w:r w:rsidRPr="000E73EB">
              <w:rPr>
                <w:rFonts w:eastAsia="Times New Roman"/>
              </w:rPr>
              <w:t>Substances, the safe use of which may require advice from a pharmacist and which should be available from a pharmacy or, where a pharmacy service is not available, from a licensed person.</w:t>
            </w:r>
          </w:p>
        </w:tc>
      </w:tr>
      <w:tr w:rsidR="00121D83" w:rsidRPr="00EE397F" w:rsidTr="008E256E">
        <w:tc>
          <w:tcPr>
            <w:tcW w:w="1701" w:type="dxa"/>
          </w:tcPr>
          <w:p w:rsidR="00121D83" w:rsidRPr="00C83739" w:rsidRDefault="00121D83" w:rsidP="008E256E">
            <w:pPr>
              <w:pStyle w:val="AHPRAtabletext"/>
              <w:rPr>
                <w:rStyle w:val="Hyperlink"/>
              </w:rPr>
            </w:pPr>
            <w:r w:rsidRPr="00C83739">
              <w:t>Schedule 3</w:t>
            </w:r>
          </w:p>
        </w:tc>
        <w:tc>
          <w:tcPr>
            <w:tcW w:w="7433" w:type="dxa"/>
          </w:tcPr>
          <w:p w:rsidR="00121D83" w:rsidRDefault="00121D83" w:rsidP="008E256E">
            <w:pPr>
              <w:pStyle w:val="AHPRAtabletext"/>
              <w:rPr>
                <w:rStyle w:val="Hyperlink"/>
                <w:color w:val="000000"/>
              </w:rPr>
            </w:pPr>
            <w:r w:rsidRPr="000E73EB">
              <w:rPr>
                <w:b/>
              </w:rPr>
              <w:t>Pharmacist Only Medicine</w:t>
            </w:r>
            <w:r>
              <w:t xml:space="preserve"> – </w:t>
            </w:r>
            <w:r w:rsidRPr="000E73EB">
              <w:t>Substances, the safe use of which requires professional advice but which should be available to the public from a pharmacist without a prescription.</w:t>
            </w:r>
          </w:p>
        </w:tc>
      </w:tr>
      <w:tr w:rsidR="00121D83" w:rsidRPr="00EE397F" w:rsidTr="008E256E">
        <w:tc>
          <w:tcPr>
            <w:tcW w:w="1701" w:type="dxa"/>
          </w:tcPr>
          <w:p w:rsidR="00121D83" w:rsidRDefault="00121D83" w:rsidP="008E256E">
            <w:pPr>
              <w:pStyle w:val="AHPRAtabletext"/>
            </w:pPr>
            <w:r w:rsidRPr="000E73EB">
              <w:t>Schedule 4</w:t>
            </w:r>
          </w:p>
        </w:tc>
        <w:tc>
          <w:tcPr>
            <w:tcW w:w="7433" w:type="dxa"/>
          </w:tcPr>
          <w:p w:rsidR="00121D83" w:rsidRDefault="00121D83" w:rsidP="008E256E">
            <w:pPr>
              <w:pStyle w:val="AHPRAtabletext"/>
            </w:pPr>
            <w:r w:rsidRPr="0072617C">
              <w:rPr>
                <w:b/>
              </w:rPr>
              <w:t>Prescription Only Medicine</w:t>
            </w:r>
            <w:r w:rsidRPr="000E73EB">
              <w:t xml:space="preserve"> OR Prescription Animal Remedy</w:t>
            </w:r>
            <w:r>
              <w:t xml:space="preserve"> – </w:t>
            </w:r>
            <w:r w:rsidRPr="000E73EB">
              <w:t>Substances, the use or supply of which should be by or on the order of persons permitted by State or Territory legislation to prescribe and should be available from a pharmacist on prescription.</w:t>
            </w:r>
          </w:p>
        </w:tc>
      </w:tr>
      <w:tr w:rsidR="00121D83" w:rsidRPr="00EE397F" w:rsidTr="008E256E">
        <w:tc>
          <w:tcPr>
            <w:tcW w:w="1701" w:type="dxa"/>
          </w:tcPr>
          <w:p w:rsidR="00121D83" w:rsidRDefault="00121D83" w:rsidP="008E256E">
            <w:pPr>
              <w:pStyle w:val="AHPRAtabletext"/>
            </w:pPr>
            <w:r w:rsidRPr="00D27BFC">
              <w:t>Schedule 8</w:t>
            </w:r>
          </w:p>
        </w:tc>
        <w:tc>
          <w:tcPr>
            <w:tcW w:w="7433" w:type="dxa"/>
          </w:tcPr>
          <w:p w:rsidR="00121D83" w:rsidRDefault="00121D83" w:rsidP="008E256E">
            <w:pPr>
              <w:pStyle w:val="AHPRAtabletext"/>
            </w:pPr>
            <w:r w:rsidRPr="00D27BFC">
              <w:rPr>
                <w:b/>
              </w:rPr>
              <w:t>Controlled Drug</w:t>
            </w:r>
            <w:r w:rsidRPr="00D27BFC">
              <w:t xml:space="preserve"> </w:t>
            </w:r>
            <w:r>
              <w:t>–</w:t>
            </w:r>
            <w:r w:rsidRPr="00D27BFC">
              <w:t xml:space="preserve"> </w:t>
            </w:r>
            <w:r w:rsidRPr="0072617C">
              <w:t>Substances which should be available for use but require restriction of manufacture, supply, distribution, possession and use to reduce abuse, misuse and physical or psychological dependence</w:t>
            </w:r>
            <w:r>
              <w:t>.</w:t>
            </w:r>
          </w:p>
        </w:tc>
      </w:tr>
    </w:tbl>
    <w:p w:rsidR="00121D83" w:rsidRPr="00C83739" w:rsidRDefault="00121D83" w:rsidP="00121D83">
      <w:pPr>
        <w:pStyle w:val="AHPRASubheading"/>
      </w:pPr>
      <w:r w:rsidRPr="00C83739">
        <w:lastRenderedPageBreak/>
        <w:t xml:space="preserve">The National </w:t>
      </w:r>
      <w:r w:rsidR="00987BEC">
        <w:t>p</w:t>
      </w:r>
      <w:r w:rsidRPr="00C83739">
        <w:t xml:space="preserve">odiatry </w:t>
      </w:r>
      <w:r w:rsidR="00987BEC">
        <w:t>s</w:t>
      </w:r>
      <w:r w:rsidRPr="00C83739">
        <w:t xml:space="preserve">cheduled </w:t>
      </w:r>
      <w:r w:rsidR="00254CD3">
        <w:t>m</w:t>
      </w:r>
      <w:r w:rsidRPr="00C83739">
        <w:t xml:space="preserve">edicines </w:t>
      </w:r>
      <w:r w:rsidR="00987BEC">
        <w:t>l</w:t>
      </w:r>
      <w:r w:rsidRPr="00C83739">
        <w:t>ist</w:t>
      </w:r>
    </w:p>
    <w:p w:rsidR="00121D83" w:rsidRDefault="00121D83" w:rsidP="00121D83">
      <w:pPr>
        <w:pStyle w:val="AHPRAbody"/>
      </w:pPr>
      <w:r w:rsidRPr="0072617C">
        <w:t xml:space="preserve">The </w:t>
      </w:r>
      <w:r w:rsidRPr="00C578CE">
        <w:rPr>
          <w:i/>
        </w:rPr>
        <w:t xml:space="preserve">National </w:t>
      </w:r>
      <w:r w:rsidR="00987BEC" w:rsidRPr="00C578CE">
        <w:rPr>
          <w:i/>
        </w:rPr>
        <w:t>p</w:t>
      </w:r>
      <w:r w:rsidRPr="00C578CE">
        <w:rPr>
          <w:i/>
        </w:rPr>
        <w:t xml:space="preserve">odiatry </w:t>
      </w:r>
      <w:r w:rsidR="00987BEC" w:rsidRPr="00C578CE">
        <w:rPr>
          <w:i/>
        </w:rPr>
        <w:t>s</w:t>
      </w:r>
      <w:r w:rsidRPr="00C578CE">
        <w:rPr>
          <w:i/>
        </w:rPr>
        <w:t xml:space="preserve">cheduled </w:t>
      </w:r>
      <w:r w:rsidR="00987BEC" w:rsidRPr="00C578CE">
        <w:rPr>
          <w:i/>
        </w:rPr>
        <w:t>m</w:t>
      </w:r>
      <w:r w:rsidRPr="00C578CE">
        <w:rPr>
          <w:i/>
        </w:rPr>
        <w:t xml:space="preserve">edicines </w:t>
      </w:r>
      <w:r w:rsidR="00987BEC" w:rsidRPr="00C578CE">
        <w:rPr>
          <w:i/>
        </w:rPr>
        <w:t>l</w:t>
      </w:r>
      <w:r w:rsidRPr="00C578CE">
        <w:rPr>
          <w:i/>
        </w:rPr>
        <w:t>ist</w:t>
      </w:r>
      <w:r w:rsidRPr="0072617C">
        <w:t xml:space="preserve"> specifies the Schedule 2, 3, 4 and 8 medicines that podiatrists and podiatric surgeons whose registration has been endorsed for scheduled medicines by the Podiatry Board of Australia </w:t>
      </w:r>
      <w:r>
        <w:t xml:space="preserve">(Board) </w:t>
      </w:r>
      <w:r w:rsidRPr="0072617C">
        <w:t xml:space="preserve">are </w:t>
      </w:r>
      <w:r w:rsidRPr="00D40029">
        <w:rPr>
          <w:b/>
        </w:rPr>
        <w:t>qualified</w:t>
      </w:r>
      <w:r w:rsidRPr="00D27BFC">
        <w:t xml:space="preserve"> </w:t>
      </w:r>
      <w:r w:rsidRPr="0072617C">
        <w:t>to administer, obtain, possess, prescribe, sell, supply or use for the treatment of podiatric conditions.</w:t>
      </w:r>
    </w:p>
    <w:p w:rsidR="00121D83" w:rsidRDefault="00121D83" w:rsidP="00121D83">
      <w:pPr>
        <w:pStyle w:val="AHPRAbody"/>
      </w:pPr>
      <w:r w:rsidRPr="0072617C">
        <w:t xml:space="preserve">From April 2016, the TGA is updating some medicine ingredient names used in Australia to align with names used internationally. Information about the changes can be found on the </w:t>
      </w:r>
      <w:hyperlink r:id="rId22" w:history="1">
        <w:r>
          <w:rPr>
            <w:rStyle w:val="Hyperlink"/>
          </w:rPr>
          <w:t>TGA website</w:t>
        </w:r>
      </w:hyperlink>
      <w:r w:rsidRPr="00D27BFC">
        <w:t>.</w:t>
      </w:r>
    </w:p>
    <w:p w:rsidR="00121D83" w:rsidRPr="00EB30E9" w:rsidRDefault="00121D83" w:rsidP="00121D83">
      <w:pPr>
        <w:pStyle w:val="AHPRAbody"/>
        <w:rPr>
          <w:b/>
          <w:bCs/>
          <w:szCs w:val="20"/>
        </w:rPr>
      </w:pPr>
      <w:r w:rsidRPr="00D27BFC">
        <w:t xml:space="preserve">This list has been updated to reflect the new names. The medicines on this list that are affected are marked with an </w:t>
      </w:r>
      <w:proofErr w:type="spellStart"/>
      <w:r w:rsidRPr="00D27BFC">
        <w:t>asterix</w:t>
      </w:r>
      <w:proofErr w:type="spellEnd"/>
      <w:r w:rsidRPr="00D27BFC">
        <w:t>*. Some of the changes are minor spelling changes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6622"/>
      </w:tblGrid>
      <w:tr w:rsidR="00121D83" w:rsidRPr="005C16BA"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Allergy and Anaphylaxis</w:t>
            </w:r>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proofErr w:type="spellStart"/>
            <w:r>
              <w:rPr>
                <w:rFonts w:ascii="Arial" w:hAnsi="Arial" w:cs="Arial"/>
                <w:bCs w:val="0"/>
                <w:color w:val="008EC4"/>
                <w:sz w:val="20"/>
                <w:szCs w:val="20"/>
              </w:rPr>
              <w:t>Sympathomimetics</w:t>
            </w:r>
            <w:proofErr w:type="spellEnd"/>
          </w:p>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Antihistamines</w:t>
            </w:r>
          </w:p>
          <w:p w:rsidR="00121D83" w:rsidRDefault="00121D83" w:rsidP="00121D83">
            <w:pPr>
              <w:pStyle w:val="Graphhead"/>
              <w:numPr>
                <w:ilvl w:val="0"/>
                <w:numId w:val="8"/>
              </w:numPr>
              <w:spacing w:before="120" w:after="0"/>
              <w:rPr>
                <w:rFonts w:ascii="Arial" w:hAnsi="Arial" w:cs="Arial"/>
                <w:bCs w:val="0"/>
                <w:color w:val="008EC4"/>
                <w:sz w:val="20"/>
                <w:szCs w:val="20"/>
              </w:rPr>
            </w:pPr>
            <w:r>
              <w:rPr>
                <w:rFonts w:ascii="Arial" w:hAnsi="Arial" w:cs="Arial"/>
                <w:bCs w:val="0"/>
                <w:color w:val="008EC4"/>
                <w:sz w:val="20"/>
                <w:szCs w:val="20"/>
              </w:rPr>
              <w:t>Sedating antihistamines</w:t>
            </w:r>
          </w:p>
          <w:p w:rsidR="00121D83" w:rsidRDefault="00121D83" w:rsidP="00121D83">
            <w:pPr>
              <w:pStyle w:val="Graphhead"/>
              <w:numPr>
                <w:ilvl w:val="0"/>
                <w:numId w:val="8"/>
              </w:numPr>
              <w:spacing w:after="120"/>
              <w:rPr>
                <w:rFonts w:ascii="Arial" w:hAnsi="Arial" w:cs="Arial"/>
                <w:bCs w:val="0"/>
                <w:color w:val="008EC4"/>
                <w:sz w:val="20"/>
                <w:szCs w:val="20"/>
              </w:rPr>
            </w:pPr>
            <w:r>
              <w:rPr>
                <w:rFonts w:ascii="Arial" w:hAnsi="Arial" w:cs="Arial"/>
                <w:bCs w:val="0"/>
                <w:color w:val="008EC4"/>
                <w:sz w:val="20"/>
                <w:szCs w:val="20"/>
              </w:rPr>
              <w:t>Less sedating antihistamines</w:t>
            </w:r>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BodyTextBullets"/>
              <w:numPr>
                <w:ilvl w:val="0"/>
                <w:numId w:val="0"/>
              </w:numPr>
              <w:spacing w:before="120" w:after="120"/>
              <w:rPr>
                <w:color w:val="008EC4"/>
                <w:szCs w:val="20"/>
              </w:rPr>
            </w:pPr>
            <w:r>
              <w:t>IV route</w:t>
            </w:r>
            <w:r w:rsidRPr="00453AC1">
              <w:t xml:space="preserve"> </w:t>
            </w:r>
            <w:r>
              <w:t>is</w:t>
            </w:r>
            <w:r w:rsidRPr="00453AC1">
              <w:t xml:space="preserve"> restricted to use by podiatric surgeons only and must only be used in association with a hospital admission (including a r</w:t>
            </w:r>
            <w:r>
              <w:t>egistered day surgery facility)</w:t>
            </w: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auto"/>
                <w:sz w:val="20"/>
                <w:szCs w:val="20"/>
              </w:rPr>
            </w:pPr>
            <w:proofErr w:type="spellStart"/>
            <w:r>
              <w:rPr>
                <w:rFonts w:ascii="Arial" w:hAnsi="Arial" w:cs="Arial"/>
                <w:color w:val="0070C0"/>
                <w:sz w:val="20"/>
                <w:szCs w:val="20"/>
              </w:rPr>
              <w:t>Sympathomimetics</w:t>
            </w:r>
            <w:proofErr w:type="spellEnd"/>
          </w:p>
        </w:tc>
        <w:tc>
          <w:tcPr>
            <w:tcW w:w="662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pPr>
            <w:r w:rsidRPr="00D84207">
              <w:t>Adrenaline</w:t>
            </w:r>
            <w:r>
              <w:t xml:space="preserve"> (epinephrine)*</w:t>
            </w:r>
          </w:p>
          <w:p w:rsidR="00121D83" w:rsidRDefault="00121D83" w:rsidP="008E256E">
            <w:pPr>
              <w:pStyle w:val="AHPRAtabletext"/>
              <w:rPr>
                <w:color w:val="0070C0"/>
              </w:rPr>
            </w:pPr>
          </w:p>
        </w:tc>
        <w:tc>
          <w:tcPr>
            <w:tcW w:w="662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222969">
              <w:t>For anaphylaxis</w:t>
            </w:r>
          </w:p>
          <w:p w:rsidR="00121D83" w:rsidRDefault="00121D83" w:rsidP="008E256E">
            <w:pPr>
              <w:pStyle w:val="AHPRAtabletext"/>
              <w:rPr>
                <w:color w:val="0070C0"/>
              </w:rPr>
            </w:pPr>
            <w:r>
              <w:t>Intravenous (</w:t>
            </w:r>
            <w:r w:rsidRPr="00222969">
              <w:t>IV</w:t>
            </w:r>
            <w:r>
              <w:t>)</w:t>
            </w:r>
            <w:r w:rsidRPr="00222969">
              <w:t xml:space="preserve"> route is restricted to podiatric surgeons only </w:t>
            </w:r>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Antihistamines</w:t>
            </w: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Sedating antihistamines</w:t>
            </w:r>
          </w:p>
        </w:tc>
        <w:tc>
          <w:tcPr>
            <w:tcW w:w="662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sidRPr="001B5BF7">
              <w:rPr>
                <w:rFonts w:ascii="Arial" w:hAnsi="Arial" w:cs="Arial"/>
                <w:color w:val="auto"/>
                <w:sz w:val="20"/>
                <w:szCs w:val="20"/>
              </w:rPr>
              <w:t>Promethazine</w:t>
            </w:r>
          </w:p>
        </w:tc>
        <w:tc>
          <w:tcPr>
            <w:tcW w:w="662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sidRPr="0063697A">
              <w:rPr>
                <w:rFonts w:ascii="Arial" w:hAnsi="Arial" w:cs="Arial"/>
                <w:color w:val="auto"/>
                <w:sz w:val="20"/>
                <w:szCs w:val="20"/>
              </w:rPr>
              <w:t>Oral route only</w:t>
            </w: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Less sedating antihistamines</w:t>
            </w:r>
          </w:p>
        </w:tc>
        <w:tc>
          <w:tcPr>
            <w:tcW w:w="662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proofErr w:type="spellStart"/>
            <w:r w:rsidRPr="001B5BF7">
              <w:rPr>
                <w:rFonts w:ascii="Arial" w:hAnsi="Arial" w:cs="Arial"/>
                <w:color w:val="auto"/>
                <w:sz w:val="20"/>
                <w:szCs w:val="20"/>
              </w:rPr>
              <w:t>Desloratadine</w:t>
            </w:r>
            <w:proofErr w:type="spellEnd"/>
          </w:p>
        </w:tc>
        <w:tc>
          <w:tcPr>
            <w:tcW w:w="6622" w:type="dxa"/>
            <w:vMerge w:val="restart"/>
            <w:tcBorders>
              <w:top w:val="single" w:sz="4" w:space="0" w:color="000000"/>
              <w:left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sidRPr="001B5BF7">
              <w:rPr>
                <w:rFonts w:ascii="Arial" w:hAnsi="Arial" w:cs="Arial"/>
                <w:color w:val="auto"/>
                <w:sz w:val="20"/>
                <w:szCs w:val="20"/>
              </w:rPr>
              <w:t>Fexofenadine</w:t>
            </w:r>
          </w:p>
        </w:tc>
        <w:tc>
          <w:tcPr>
            <w:tcW w:w="6622" w:type="dxa"/>
            <w:vMerge/>
            <w:tcBorders>
              <w:left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p>
        </w:tc>
      </w:tr>
      <w:tr w:rsidR="00121D83" w:rsidTr="008E256E">
        <w:trPr>
          <w:cantSplit/>
          <w:trHeight w:val="60"/>
        </w:trPr>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proofErr w:type="spellStart"/>
            <w:r w:rsidRPr="001B5BF7">
              <w:rPr>
                <w:rFonts w:ascii="Arial" w:hAnsi="Arial" w:cs="Arial"/>
                <w:color w:val="auto"/>
                <w:sz w:val="20"/>
                <w:szCs w:val="20"/>
              </w:rPr>
              <w:t>Loratadine</w:t>
            </w:r>
            <w:proofErr w:type="spellEnd"/>
          </w:p>
        </w:tc>
        <w:tc>
          <w:tcPr>
            <w:tcW w:w="6622" w:type="dxa"/>
            <w:vMerge/>
            <w:tcBorders>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p>
        </w:tc>
      </w:tr>
    </w:tbl>
    <w:p w:rsidR="00121D83" w:rsidRDefault="00121D83" w:rsidP="00121D83">
      <w:pPr>
        <w:pStyle w:val="Graphhead"/>
        <w:spacing w:before="120" w:after="240"/>
        <w:rPr>
          <w:rFonts w:ascii="Arial" w:hAnsi="Arial" w:cs="Arial"/>
          <w:bCs w:val="0"/>
          <w:color w:val="008EC4"/>
          <w:sz w:val="22"/>
          <w:szCs w:val="22"/>
        </w:rPr>
      </w:pPr>
    </w:p>
    <w:p w:rsidR="00121D83" w:rsidRDefault="00121D83" w:rsidP="00121D83">
      <w:pPr>
        <w:spacing w:after="0"/>
        <w:rPr>
          <w:rFonts w:cs="Arial"/>
          <w:b/>
          <w:color w:val="008EC4"/>
          <w:sz w:val="22"/>
          <w:szCs w:val="22"/>
        </w:rPr>
      </w:pPr>
      <w:r>
        <w:rPr>
          <w:rFonts w:cs="Arial"/>
          <w:bCs/>
          <w:color w:val="008EC4"/>
          <w:sz w:val="22"/>
          <w:szCs w:val="22"/>
        </w:rPr>
        <w:br w:type="page"/>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707"/>
      </w:tblGrid>
      <w:tr w:rsidR="00121D83" w:rsidRPr="005C16BA"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proofErr w:type="spellStart"/>
            <w:r>
              <w:rPr>
                <w:rFonts w:ascii="Arial" w:hAnsi="Arial" w:cs="Arial"/>
                <w:bCs w:val="0"/>
                <w:color w:val="008EC4"/>
                <w:sz w:val="20"/>
                <w:szCs w:val="20"/>
              </w:rPr>
              <w:lastRenderedPageBreak/>
              <w:t>Anaesthetics</w:t>
            </w:r>
            <w:proofErr w:type="spellEnd"/>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 xml:space="preserve">General </w:t>
            </w:r>
            <w:proofErr w:type="spellStart"/>
            <w:r>
              <w:rPr>
                <w:rFonts w:ascii="Arial" w:hAnsi="Arial" w:cs="Arial"/>
                <w:bCs w:val="0"/>
                <w:color w:val="008EC4"/>
                <w:sz w:val="20"/>
                <w:szCs w:val="20"/>
              </w:rPr>
              <w:t>anaesthetics</w:t>
            </w:r>
            <w:proofErr w:type="spellEnd"/>
          </w:p>
          <w:p w:rsidR="00121D83" w:rsidRDefault="00121D83" w:rsidP="00121D83">
            <w:pPr>
              <w:pStyle w:val="Graphhead"/>
              <w:numPr>
                <w:ilvl w:val="0"/>
                <w:numId w:val="8"/>
              </w:numPr>
              <w:spacing w:before="120" w:after="120"/>
              <w:rPr>
                <w:rFonts w:ascii="Arial" w:hAnsi="Arial" w:cs="Arial"/>
                <w:bCs w:val="0"/>
                <w:color w:val="008EC4"/>
                <w:sz w:val="20"/>
                <w:szCs w:val="20"/>
              </w:rPr>
            </w:pPr>
            <w:r>
              <w:rPr>
                <w:rFonts w:ascii="Arial" w:hAnsi="Arial" w:cs="Arial"/>
                <w:bCs w:val="0"/>
                <w:color w:val="008EC4"/>
                <w:sz w:val="20"/>
                <w:szCs w:val="20"/>
              </w:rPr>
              <w:t xml:space="preserve">Inhaled </w:t>
            </w:r>
            <w:proofErr w:type="spellStart"/>
            <w:r>
              <w:rPr>
                <w:rFonts w:ascii="Arial" w:hAnsi="Arial" w:cs="Arial"/>
                <w:bCs w:val="0"/>
                <w:color w:val="008EC4"/>
                <w:sz w:val="20"/>
                <w:szCs w:val="20"/>
              </w:rPr>
              <w:t>anaesthetics</w:t>
            </w:r>
            <w:proofErr w:type="spellEnd"/>
          </w:p>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 xml:space="preserve">Drugs for local </w:t>
            </w:r>
            <w:proofErr w:type="spellStart"/>
            <w:r>
              <w:rPr>
                <w:rFonts w:ascii="Arial" w:hAnsi="Arial" w:cs="Arial"/>
                <w:bCs w:val="0"/>
                <w:color w:val="008EC4"/>
                <w:sz w:val="20"/>
                <w:szCs w:val="20"/>
              </w:rPr>
              <w:t>anaesthesia</w:t>
            </w:r>
            <w:proofErr w:type="spellEnd"/>
          </w:p>
          <w:p w:rsidR="00121D83" w:rsidRPr="00443F45" w:rsidRDefault="00121D83" w:rsidP="00121D83">
            <w:pPr>
              <w:pStyle w:val="Graphhead"/>
              <w:numPr>
                <w:ilvl w:val="0"/>
                <w:numId w:val="8"/>
              </w:numPr>
              <w:spacing w:before="120" w:after="120"/>
              <w:rPr>
                <w:rFonts w:ascii="Arial" w:hAnsi="Arial" w:cs="Arial"/>
                <w:bCs w:val="0"/>
                <w:color w:val="008EC4"/>
                <w:sz w:val="20"/>
                <w:szCs w:val="20"/>
              </w:rPr>
            </w:pPr>
            <w:r>
              <w:rPr>
                <w:rFonts w:ascii="Arial" w:hAnsi="Arial" w:cs="Arial"/>
                <w:bCs w:val="0"/>
                <w:color w:val="008EC4"/>
                <w:sz w:val="20"/>
                <w:szCs w:val="20"/>
              </w:rPr>
              <w:t xml:space="preserve">Local </w:t>
            </w:r>
            <w:proofErr w:type="spellStart"/>
            <w:r>
              <w:rPr>
                <w:rFonts w:ascii="Arial" w:hAnsi="Arial" w:cs="Arial"/>
                <w:bCs w:val="0"/>
                <w:color w:val="008EC4"/>
                <w:sz w:val="20"/>
                <w:szCs w:val="20"/>
              </w:rPr>
              <w:t>anaesthetics</w:t>
            </w:r>
            <w:proofErr w:type="spellEnd"/>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sidRPr="00D84207">
              <w:rPr>
                <w:rFonts w:ascii="Arial" w:hAnsi="Arial" w:cs="Arial"/>
                <w:color w:val="0070C0"/>
                <w:sz w:val="20"/>
                <w:szCs w:val="20"/>
              </w:rPr>
              <w:t xml:space="preserve">General </w:t>
            </w:r>
            <w:proofErr w:type="spellStart"/>
            <w:r w:rsidRPr="00D84207">
              <w:rPr>
                <w:rFonts w:ascii="Arial" w:hAnsi="Arial" w:cs="Arial"/>
                <w:color w:val="0070C0"/>
                <w:sz w:val="20"/>
                <w:szCs w:val="20"/>
              </w:rPr>
              <w:t>anaesthetics</w:t>
            </w:r>
            <w:proofErr w:type="spellEnd"/>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auto"/>
                <w:sz w:val="20"/>
                <w:szCs w:val="20"/>
              </w:rPr>
            </w:pPr>
            <w:r>
              <w:rPr>
                <w:rFonts w:ascii="Arial" w:hAnsi="Arial" w:cs="Arial"/>
                <w:color w:val="0070C0"/>
                <w:sz w:val="20"/>
                <w:szCs w:val="20"/>
              </w:rPr>
              <w:t xml:space="preserve">Inhaled </w:t>
            </w:r>
            <w:proofErr w:type="spellStart"/>
            <w:r>
              <w:rPr>
                <w:rFonts w:ascii="Arial" w:hAnsi="Arial" w:cs="Arial"/>
                <w:color w:val="0070C0"/>
                <w:sz w:val="20"/>
                <w:szCs w:val="20"/>
              </w:rPr>
              <w:t>anaesthetics</w:t>
            </w:r>
            <w:proofErr w:type="spellEnd"/>
          </w:p>
        </w:tc>
        <w:tc>
          <w:tcPr>
            <w:tcW w:w="6707"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color w:val="0070C0"/>
              </w:rPr>
            </w:pPr>
            <w:proofErr w:type="spellStart"/>
            <w:r w:rsidRPr="00443F45">
              <w:t>Methoxyflurane</w:t>
            </w:r>
            <w:proofErr w:type="spellEnd"/>
          </w:p>
        </w:tc>
        <w:tc>
          <w:tcPr>
            <w:tcW w:w="6707"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2B2E68">
              <w:t>Short-term analgesia and may be of use in acute trauma, p</w:t>
            </w:r>
            <w:r>
              <w:t>re-injection and wound dressing</w:t>
            </w:r>
          </w:p>
          <w:p w:rsidR="00121D83" w:rsidRDefault="00121D83" w:rsidP="008E256E">
            <w:pPr>
              <w:pStyle w:val="AHPRAtabletext"/>
              <w:rPr>
                <w:color w:val="0070C0"/>
              </w:rPr>
            </w:pPr>
            <w:r>
              <w:t>S</w:t>
            </w:r>
            <w:r w:rsidRPr="002B2E68">
              <w:t>hould only be used where appropriate resuscitation facilities are available</w:t>
            </w:r>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 xml:space="preserve">Drugs for local </w:t>
            </w:r>
            <w:proofErr w:type="spellStart"/>
            <w:r>
              <w:rPr>
                <w:rFonts w:ascii="Arial" w:hAnsi="Arial" w:cs="Arial"/>
                <w:color w:val="0070C0"/>
                <w:sz w:val="20"/>
                <w:szCs w:val="20"/>
              </w:rPr>
              <w:t>anaesthesia</w:t>
            </w:r>
            <w:proofErr w:type="spellEnd"/>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 xml:space="preserve">Local </w:t>
            </w:r>
            <w:proofErr w:type="spellStart"/>
            <w:r>
              <w:rPr>
                <w:rFonts w:ascii="Arial" w:hAnsi="Arial" w:cs="Arial"/>
                <w:color w:val="0070C0"/>
                <w:sz w:val="20"/>
                <w:szCs w:val="20"/>
              </w:rPr>
              <w:t>anaesthetics</w:t>
            </w:r>
            <w:proofErr w:type="spellEnd"/>
          </w:p>
        </w:tc>
        <w:tc>
          <w:tcPr>
            <w:tcW w:w="6707"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color w:val="0070C0"/>
              </w:rPr>
            </w:pPr>
            <w:proofErr w:type="spellStart"/>
            <w:r>
              <w:t>Tetracaine</w:t>
            </w:r>
            <w:proofErr w:type="spellEnd"/>
            <w:r>
              <w:t xml:space="preserve"> (</w:t>
            </w:r>
            <w:proofErr w:type="spellStart"/>
            <w:r>
              <w:t>amethocaine</w:t>
            </w:r>
            <w:proofErr w:type="spellEnd"/>
            <w:r>
              <w:t>) hydrochloride*</w:t>
            </w:r>
          </w:p>
        </w:tc>
        <w:tc>
          <w:tcPr>
            <w:tcW w:w="6707" w:type="dxa"/>
            <w:tcBorders>
              <w:top w:val="single" w:sz="4" w:space="0" w:color="000000"/>
              <w:left w:val="single" w:sz="4" w:space="0" w:color="000000"/>
              <w:bottom w:val="single" w:sz="4" w:space="0" w:color="auto"/>
              <w:right w:val="single" w:sz="4" w:space="0" w:color="000000"/>
            </w:tcBorders>
          </w:tcPr>
          <w:p w:rsidR="00121D83" w:rsidRDefault="00121D83" w:rsidP="008E256E">
            <w:pPr>
              <w:pStyle w:val="AHPRAtabletext"/>
            </w:pPr>
            <w:r w:rsidRPr="00D553B4">
              <w:t>Skin preparation only</w:t>
            </w:r>
          </w:p>
          <w:p w:rsidR="00121D83" w:rsidRDefault="00121D83" w:rsidP="008E256E">
            <w:pPr>
              <w:pStyle w:val="AHPRAtabletext"/>
              <w:rPr>
                <w:color w:val="0070C0"/>
              </w:rPr>
            </w:pPr>
            <w:r w:rsidRPr="00D553B4">
              <w:t>For use in hospital and podiatry practice setting only</w:t>
            </w:r>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pPr>
            <w:r w:rsidRPr="00443F45">
              <w:t>Bupivacaine</w:t>
            </w:r>
            <w:r>
              <w:t xml:space="preserve"> </w:t>
            </w:r>
            <w:r w:rsidRPr="001B5BF7">
              <w:t xml:space="preserve"> </w:t>
            </w:r>
          </w:p>
          <w:p w:rsidR="00121D83" w:rsidRDefault="00121D83" w:rsidP="008E256E">
            <w:pPr>
              <w:pStyle w:val="AHPRAtabletext"/>
              <w:rPr>
                <w:color w:val="0070C0"/>
              </w:rPr>
            </w:pPr>
            <w:r w:rsidRPr="001B5BF7">
              <w:t>Plain or with adrenaline</w:t>
            </w:r>
            <w:r>
              <w:t xml:space="preserve"> (epinephrine</w:t>
            </w:r>
            <w:r w:rsidRPr="001B5BF7">
              <w:t>)</w:t>
            </w:r>
            <w:r>
              <w:t>*</w:t>
            </w:r>
          </w:p>
        </w:tc>
        <w:tc>
          <w:tcPr>
            <w:tcW w:w="6707" w:type="dxa"/>
            <w:tcBorders>
              <w:top w:val="single" w:sz="4" w:space="0" w:color="auto"/>
              <w:left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pPr>
            <w:proofErr w:type="spellStart"/>
            <w:r w:rsidRPr="00443F45">
              <w:t>Levobupivacaine</w:t>
            </w:r>
            <w:proofErr w:type="spellEnd"/>
          </w:p>
        </w:tc>
        <w:tc>
          <w:tcPr>
            <w:tcW w:w="6707" w:type="dxa"/>
            <w:tcBorders>
              <w:left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1099"/>
        </w:trPr>
        <w:tc>
          <w:tcPr>
            <w:tcW w:w="2535" w:type="dxa"/>
            <w:tcBorders>
              <w:top w:val="single" w:sz="4" w:space="0" w:color="000000"/>
              <w:left w:val="single" w:sz="4" w:space="0" w:color="000000"/>
              <w:right w:val="single" w:sz="4" w:space="0" w:color="000000"/>
            </w:tcBorders>
            <w:shd w:val="clear" w:color="auto" w:fill="auto"/>
          </w:tcPr>
          <w:p w:rsidR="00121D83" w:rsidRDefault="00121D83" w:rsidP="008E256E">
            <w:pPr>
              <w:pStyle w:val="AHPRAtabletext"/>
            </w:pPr>
            <w:r>
              <w:t>Lidocaine (lignocaine)*</w:t>
            </w:r>
          </w:p>
          <w:p w:rsidR="00121D83" w:rsidRDefault="00121D83" w:rsidP="008E256E">
            <w:pPr>
              <w:pStyle w:val="AHPRAtabletext"/>
              <w:rPr>
                <w:color w:val="0070C0"/>
              </w:rPr>
            </w:pPr>
            <w:r>
              <w:t xml:space="preserve"> Plain or with adrenaline (epinephrine)*</w:t>
            </w:r>
          </w:p>
        </w:tc>
        <w:tc>
          <w:tcPr>
            <w:tcW w:w="6707" w:type="dxa"/>
            <w:tcBorders>
              <w:left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color w:val="0070C0"/>
              </w:rPr>
            </w:pPr>
            <w:proofErr w:type="spellStart"/>
            <w:r w:rsidRPr="001B5BF7">
              <w:t>Prilocaine</w:t>
            </w:r>
            <w:proofErr w:type="spellEnd"/>
          </w:p>
        </w:tc>
        <w:tc>
          <w:tcPr>
            <w:tcW w:w="6707" w:type="dxa"/>
            <w:vMerge w:val="restart"/>
            <w:tcBorders>
              <w:left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color w:val="0070C0"/>
              </w:rPr>
            </w:pPr>
            <w:proofErr w:type="spellStart"/>
            <w:r w:rsidRPr="001B5BF7">
              <w:t>Ropivacaine</w:t>
            </w:r>
            <w:proofErr w:type="spellEnd"/>
          </w:p>
        </w:tc>
        <w:tc>
          <w:tcPr>
            <w:tcW w:w="6707" w:type="dxa"/>
            <w:vMerge/>
            <w:tcBorders>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bl>
    <w:p w:rsidR="00121D83" w:rsidRDefault="00121D83" w:rsidP="00121D83">
      <w:pPr>
        <w:pStyle w:val="AHPRAtabletext"/>
        <w:rPr>
          <w:rFonts w:cs="Arial"/>
          <w:b/>
          <w:i/>
        </w:rPr>
      </w:pPr>
    </w:p>
    <w:p w:rsidR="00121D83" w:rsidRDefault="00121D83" w:rsidP="00121D83">
      <w:pPr>
        <w:spacing w:after="0"/>
        <w:rPr>
          <w:rFonts w:cs="Arial"/>
          <w:bCs/>
          <w:i/>
          <w:szCs w:val="20"/>
        </w:rPr>
      </w:pPr>
      <w:r>
        <w:rPr>
          <w:rFonts w:cs="Arial"/>
          <w:b/>
          <w:i/>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006"/>
      </w:tblGrid>
      <w:tr w:rsidR="00121D83" w:rsidRPr="005C16BA"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lastRenderedPageBreak/>
              <w:t>Analgesics</w:t>
            </w:r>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Drugs for pain relief</w:t>
            </w:r>
          </w:p>
          <w:p w:rsidR="00121D83" w:rsidRDefault="00121D83" w:rsidP="00121D83">
            <w:pPr>
              <w:pStyle w:val="Graphhead"/>
              <w:numPr>
                <w:ilvl w:val="0"/>
                <w:numId w:val="8"/>
              </w:numPr>
              <w:spacing w:before="120" w:after="0"/>
              <w:rPr>
                <w:rFonts w:ascii="Arial" w:hAnsi="Arial" w:cs="Arial"/>
                <w:bCs w:val="0"/>
                <w:color w:val="008EC4"/>
                <w:sz w:val="20"/>
                <w:szCs w:val="20"/>
              </w:rPr>
            </w:pPr>
            <w:r>
              <w:rPr>
                <w:rFonts w:ascii="Arial" w:hAnsi="Arial" w:cs="Arial"/>
                <w:bCs w:val="0"/>
                <w:color w:val="008EC4"/>
                <w:sz w:val="20"/>
                <w:szCs w:val="20"/>
              </w:rPr>
              <w:t>Non-opioid analgesics</w:t>
            </w:r>
          </w:p>
          <w:p w:rsidR="00121D83" w:rsidRDefault="00121D83" w:rsidP="00121D83">
            <w:pPr>
              <w:pStyle w:val="Graphhead"/>
              <w:numPr>
                <w:ilvl w:val="0"/>
                <w:numId w:val="8"/>
              </w:numPr>
              <w:spacing w:after="120"/>
              <w:rPr>
                <w:rFonts w:ascii="Arial" w:hAnsi="Arial" w:cs="Arial"/>
                <w:bCs w:val="0"/>
                <w:color w:val="008EC4"/>
                <w:sz w:val="20"/>
                <w:szCs w:val="20"/>
              </w:rPr>
            </w:pPr>
            <w:r>
              <w:rPr>
                <w:rFonts w:ascii="Arial" w:hAnsi="Arial" w:cs="Arial"/>
                <w:bCs w:val="0"/>
                <w:color w:val="008EC4"/>
                <w:sz w:val="20"/>
                <w:szCs w:val="20"/>
              </w:rPr>
              <w:t>Opioid analgesics</w:t>
            </w:r>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Drugs for pain relief</w:t>
            </w:r>
          </w:p>
        </w:tc>
      </w:tr>
      <w:tr w:rsidR="00121D83" w:rsidTr="008E256E">
        <w:trPr>
          <w:cantSplit/>
          <w:trHeight w:val="6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auto"/>
                <w:sz w:val="20"/>
                <w:szCs w:val="20"/>
              </w:rPr>
            </w:pPr>
            <w:r>
              <w:rPr>
                <w:rFonts w:ascii="Arial" w:hAnsi="Arial" w:cs="Arial"/>
                <w:color w:val="0070C0"/>
                <w:sz w:val="20"/>
                <w:szCs w:val="20"/>
              </w:rPr>
              <w:t>Non-opioid analgesics</w:t>
            </w:r>
          </w:p>
        </w:tc>
        <w:tc>
          <w:tcPr>
            <w:tcW w:w="70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E55965">
        <w:trPr>
          <w:cantSplit/>
          <w:trHeight w:val="6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sidRPr="00443F45">
              <w:rPr>
                <w:rFonts w:ascii="Arial" w:hAnsi="Arial" w:cs="Arial"/>
                <w:color w:val="auto"/>
                <w:sz w:val="20"/>
                <w:szCs w:val="20"/>
              </w:rPr>
              <w:t>Aspirin (analgesic)</w:t>
            </w:r>
          </w:p>
        </w:tc>
        <w:tc>
          <w:tcPr>
            <w:tcW w:w="7006" w:type="dxa"/>
            <w:tcBorders>
              <w:top w:val="single" w:sz="4" w:space="0" w:color="000000"/>
              <w:left w:val="single" w:sz="4" w:space="0" w:color="000000"/>
              <w:bottom w:val="single" w:sz="4" w:space="0" w:color="auto"/>
              <w:right w:val="single" w:sz="4" w:space="0" w:color="000000"/>
            </w:tcBorders>
          </w:tcPr>
          <w:p w:rsidR="00121D83" w:rsidRDefault="00121D83" w:rsidP="008E256E">
            <w:pPr>
              <w:pStyle w:val="graphbody"/>
              <w:spacing w:before="120" w:after="120"/>
              <w:rPr>
                <w:rFonts w:ascii="Arial" w:hAnsi="Arial" w:cs="Arial"/>
                <w:color w:val="0070C0"/>
                <w:sz w:val="20"/>
                <w:szCs w:val="20"/>
              </w:rPr>
            </w:pPr>
          </w:p>
        </w:tc>
      </w:tr>
      <w:tr w:rsidR="00121D83" w:rsidTr="00E55965">
        <w:trPr>
          <w:cantSplit/>
          <w:trHeight w:val="6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21D83" w:rsidRPr="0077591A" w:rsidRDefault="00121D83" w:rsidP="008E256E">
            <w:pPr>
              <w:pStyle w:val="graphbody"/>
              <w:spacing w:before="120" w:after="120"/>
              <w:rPr>
                <w:rFonts w:ascii="Arial" w:hAnsi="Arial" w:cs="Arial"/>
                <w:color w:val="0070C0"/>
                <w:sz w:val="20"/>
                <w:szCs w:val="20"/>
              </w:rPr>
            </w:pPr>
            <w:r w:rsidRPr="0077591A">
              <w:rPr>
                <w:rFonts w:ascii="Arial" w:hAnsi="Arial" w:cs="Arial"/>
                <w:color w:val="auto"/>
                <w:sz w:val="20"/>
                <w:szCs w:val="20"/>
              </w:rPr>
              <w:t>Paracetamol</w:t>
            </w:r>
          </w:p>
        </w:tc>
        <w:tc>
          <w:tcPr>
            <w:tcW w:w="7006" w:type="dxa"/>
            <w:tcBorders>
              <w:top w:val="single" w:sz="4" w:space="0" w:color="auto"/>
              <w:left w:val="single" w:sz="4" w:space="0" w:color="000000"/>
              <w:bottom w:val="single" w:sz="4" w:space="0" w:color="000000"/>
              <w:right w:val="single" w:sz="4" w:space="0" w:color="000000"/>
            </w:tcBorders>
          </w:tcPr>
          <w:p w:rsidR="00121D83" w:rsidRPr="0077591A" w:rsidRDefault="00E55965" w:rsidP="008E256E">
            <w:pPr>
              <w:pStyle w:val="graphbody"/>
              <w:spacing w:before="120" w:after="120"/>
              <w:rPr>
                <w:rFonts w:ascii="Arial" w:hAnsi="Arial" w:cs="Arial"/>
                <w:color w:val="auto"/>
                <w:sz w:val="20"/>
                <w:szCs w:val="20"/>
              </w:rPr>
            </w:pPr>
            <w:r w:rsidRPr="0077591A">
              <w:rPr>
                <w:rFonts w:ascii="Arial" w:hAnsi="Arial" w:cs="Arial"/>
                <w:color w:val="auto"/>
                <w:sz w:val="20"/>
                <w:szCs w:val="20"/>
              </w:rPr>
              <w:t>Route restricted to oral only</w:t>
            </w:r>
          </w:p>
        </w:tc>
      </w:tr>
      <w:tr w:rsidR="00121D83" w:rsidTr="008E256E">
        <w:trPr>
          <w:cantSplit/>
          <w:trHeight w:val="6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Opioid analgesics</w:t>
            </w:r>
          </w:p>
        </w:tc>
        <w:tc>
          <w:tcPr>
            <w:tcW w:w="70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pPr>
            <w:r w:rsidRPr="001B5BF7">
              <w:t>Codeine</w:t>
            </w:r>
            <w:r>
              <w:t xml:space="preserve"> phosphate * </w:t>
            </w:r>
          </w:p>
          <w:p w:rsidR="00121D83" w:rsidRDefault="00121D83" w:rsidP="008E256E">
            <w:pPr>
              <w:pStyle w:val="AHPRAtabletext"/>
              <w:rPr>
                <w:color w:val="0070C0"/>
              </w:rPr>
            </w:pPr>
          </w:p>
        </w:tc>
        <w:tc>
          <w:tcPr>
            <w:tcW w:w="70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t xml:space="preserve">For use as a combination product only  </w:t>
            </w:r>
          </w:p>
        </w:tc>
      </w:tr>
      <w:tr w:rsidR="00121D83" w:rsidTr="008E256E">
        <w:trPr>
          <w:cantSplit/>
          <w:trHeight w:val="6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color w:val="0070C0"/>
              </w:rPr>
            </w:pPr>
            <w:r w:rsidRPr="00443F45">
              <w:t>Oxycodone</w:t>
            </w:r>
            <w:r>
              <w:t xml:space="preserve"> (in short-acting/immediate release form)</w:t>
            </w:r>
          </w:p>
        </w:tc>
        <w:tc>
          <w:tcPr>
            <w:tcW w:w="70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t xml:space="preserve">Restricted to podiatric surgeon only </w:t>
            </w:r>
          </w:p>
          <w:p w:rsidR="00121D83" w:rsidRDefault="00121D83" w:rsidP="008E256E">
            <w:pPr>
              <w:pStyle w:val="AHPRAtabletext"/>
            </w:pPr>
            <w:r>
              <w:t>Route restricted to oral only</w:t>
            </w:r>
          </w:p>
          <w:p w:rsidR="00121D83" w:rsidRDefault="00121D83" w:rsidP="008E256E">
            <w:pPr>
              <w:pStyle w:val="AHPRAtabletext"/>
            </w:pPr>
            <w:r w:rsidRPr="00B766AA">
              <w:t xml:space="preserve">Must only prescribe up to 10mg </w:t>
            </w:r>
            <w:r>
              <w:t xml:space="preserve">doses (maximum of 20mg in 24 hours) </w:t>
            </w:r>
            <w:r w:rsidRPr="00B766AA">
              <w:t xml:space="preserve">for a maximum of three days </w:t>
            </w:r>
          </w:p>
          <w:p w:rsidR="00121D83" w:rsidRDefault="00121D83" w:rsidP="008E256E">
            <w:pPr>
              <w:pStyle w:val="AHPRAtabletext"/>
              <w:rPr>
                <w:color w:val="0070C0"/>
              </w:rPr>
            </w:pPr>
            <w:r>
              <w:t xml:space="preserve">Schedule 8: Controlled drug – see reference to storage of scheduled medicines in </w:t>
            </w:r>
            <w:r w:rsidRPr="00D553B4">
              <w:rPr>
                <w:i/>
              </w:rPr>
              <w:t>Introduction</w:t>
            </w:r>
            <w:r>
              <w:rPr>
                <w:i/>
              </w:rPr>
              <w:t xml:space="preserve"> </w:t>
            </w:r>
            <w:r w:rsidRPr="00D553B4">
              <w:t>section</w:t>
            </w:r>
          </w:p>
        </w:tc>
      </w:tr>
    </w:tbl>
    <w:p w:rsidR="00121D83" w:rsidRDefault="00121D83" w:rsidP="00121D83">
      <w:pPr>
        <w:pStyle w:val="AHPRA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7044"/>
      </w:tblGrid>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 xml:space="preserve">Antidotes and </w:t>
            </w:r>
            <w:proofErr w:type="spellStart"/>
            <w:r>
              <w:rPr>
                <w:rFonts w:ascii="Arial" w:hAnsi="Arial" w:cs="Arial"/>
                <w:bCs w:val="0"/>
                <w:color w:val="008EC4"/>
                <w:sz w:val="20"/>
                <w:szCs w:val="20"/>
              </w:rPr>
              <w:t>Antivenoms</w:t>
            </w:r>
            <w:proofErr w:type="spellEnd"/>
          </w:p>
        </w:tc>
      </w:tr>
      <w:tr w:rsidR="00121D83" w:rsidTr="008E256E">
        <w:trPr>
          <w:cantSplit/>
          <w:trHeight w:val="60"/>
        </w:trPr>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Antidotes</w:t>
            </w:r>
          </w:p>
        </w:tc>
        <w:tc>
          <w:tcPr>
            <w:tcW w:w="7044"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color w:val="0070C0"/>
              </w:rPr>
            </w:pPr>
            <w:r>
              <w:t>Naloxone</w:t>
            </w:r>
          </w:p>
        </w:tc>
        <w:tc>
          <w:tcPr>
            <w:tcW w:w="7044" w:type="dxa"/>
            <w:tcBorders>
              <w:top w:val="single" w:sz="4" w:space="0" w:color="000000"/>
              <w:left w:val="single" w:sz="4" w:space="0" w:color="000000"/>
              <w:right w:val="single" w:sz="4" w:space="0" w:color="000000"/>
            </w:tcBorders>
          </w:tcPr>
          <w:p w:rsidR="00121D83" w:rsidRDefault="00121D83" w:rsidP="008E256E">
            <w:pPr>
              <w:pStyle w:val="AHPRAtabletext"/>
            </w:pPr>
            <w:r w:rsidRPr="00A342C6">
              <w:t>Restricted to podiatric surgeon only</w:t>
            </w:r>
          </w:p>
          <w:p w:rsidR="00121D83" w:rsidRDefault="00121D83" w:rsidP="008E256E">
            <w:pPr>
              <w:pStyle w:val="AHPRAtabletext"/>
            </w:pPr>
            <w:r w:rsidRPr="006B5EA9">
              <w:t>Route restricted to injection only</w:t>
            </w:r>
          </w:p>
        </w:tc>
      </w:tr>
    </w:tbl>
    <w:p w:rsidR="00121D83" w:rsidRDefault="00121D83" w:rsidP="00121D83">
      <w:pPr>
        <w:pStyle w:val="AHPRAbody"/>
      </w:pPr>
    </w:p>
    <w:p w:rsidR="00121D83" w:rsidRDefault="00121D83" w:rsidP="00121D83">
      <w:pPr>
        <w:pStyle w:val="AHPRAbody"/>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6436"/>
      </w:tblGrid>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lastRenderedPageBreak/>
              <w:t>Anti-</w:t>
            </w:r>
            <w:proofErr w:type="spellStart"/>
            <w:r>
              <w:rPr>
                <w:rFonts w:ascii="Arial" w:hAnsi="Arial" w:cs="Arial"/>
                <w:bCs w:val="0"/>
                <w:color w:val="008EC4"/>
                <w:sz w:val="20"/>
                <w:szCs w:val="20"/>
              </w:rPr>
              <w:t>infectives</w:t>
            </w:r>
            <w:proofErr w:type="spellEnd"/>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proofErr w:type="spellStart"/>
            <w:r>
              <w:rPr>
                <w:rFonts w:ascii="Arial" w:hAnsi="Arial" w:cs="Arial"/>
                <w:bCs w:val="0"/>
                <w:color w:val="008EC4"/>
                <w:sz w:val="20"/>
                <w:szCs w:val="20"/>
              </w:rPr>
              <w:t>Antibacterials</w:t>
            </w:r>
            <w:proofErr w:type="spellEnd"/>
          </w:p>
          <w:p w:rsidR="00121D83" w:rsidRDefault="00121D83" w:rsidP="00121D83">
            <w:pPr>
              <w:pStyle w:val="Graphhead"/>
              <w:numPr>
                <w:ilvl w:val="0"/>
                <w:numId w:val="8"/>
              </w:numPr>
              <w:spacing w:before="120" w:after="120"/>
              <w:rPr>
                <w:rFonts w:ascii="Arial" w:hAnsi="Arial" w:cs="Arial"/>
                <w:bCs w:val="0"/>
                <w:color w:val="008EC4"/>
                <w:sz w:val="20"/>
                <w:szCs w:val="20"/>
              </w:rPr>
            </w:pPr>
            <w:proofErr w:type="spellStart"/>
            <w:r>
              <w:rPr>
                <w:rFonts w:ascii="Arial" w:hAnsi="Arial" w:cs="Arial"/>
                <w:bCs w:val="0"/>
                <w:color w:val="008EC4"/>
                <w:sz w:val="20"/>
                <w:szCs w:val="20"/>
              </w:rPr>
              <w:t>Cephalosporins</w:t>
            </w:r>
            <w:proofErr w:type="spellEnd"/>
          </w:p>
          <w:p w:rsidR="00121D83" w:rsidRDefault="00121D83" w:rsidP="00121D83">
            <w:pPr>
              <w:pStyle w:val="Graphhead"/>
              <w:numPr>
                <w:ilvl w:val="0"/>
                <w:numId w:val="8"/>
              </w:numPr>
              <w:spacing w:after="0"/>
              <w:rPr>
                <w:rFonts w:ascii="Arial" w:hAnsi="Arial" w:cs="Arial"/>
                <w:bCs w:val="0"/>
                <w:color w:val="008EC4"/>
                <w:sz w:val="20"/>
                <w:szCs w:val="20"/>
              </w:rPr>
            </w:pPr>
            <w:proofErr w:type="spellStart"/>
            <w:r>
              <w:rPr>
                <w:rFonts w:ascii="Arial" w:hAnsi="Arial" w:cs="Arial"/>
                <w:bCs w:val="0"/>
                <w:color w:val="008EC4"/>
                <w:sz w:val="20"/>
                <w:szCs w:val="20"/>
              </w:rPr>
              <w:t>Lincosamides</w:t>
            </w:r>
            <w:proofErr w:type="spellEnd"/>
          </w:p>
          <w:p w:rsidR="00121D83" w:rsidRDefault="00121D83" w:rsidP="00121D83">
            <w:pPr>
              <w:pStyle w:val="Graphhead"/>
              <w:numPr>
                <w:ilvl w:val="0"/>
                <w:numId w:val="8"/>
              </w:numPr>
              <w:spacing w:before="120" w:after="0"/>
              <w:rPr>
                <w:rFonts w:ascii="Arial" w:hAnsi="Arial" w:cs="Arial"/>
                <w:bCs w:val="0"/>
                <w:color w:val="008EC4"/>
                <w:sz w:val="20"/>
                <w:szCs w:val="20"/>
              </w:rPr>
            </w:pPr>
            <w:r>
              <w:rPr>
                <w:rFonts w:ascii="Arial" w:hAnsi="Arial" w:cs="Arial"/>
                <w:bCs w:val="0"/>
                <w:color w:val="008EC4"/>
                <w:sz w:val="20"/>
                <w:szCs w:val="20"/>
              </w:rPr>
              <w:t>Macrolides</w:t>
            </w:r>
          </w:p>
          <w:p w:rsidR="00121D83" w:rsidRDefault="00121D83" w:rsidP="00121D83">
            <w:pPr>
              <w:pStyle w:val="Graphhead"/>
              <w:numPr>
                <w:ilvl w:val="0"/>
                <w:numId w:val="8"/>
              </w:numPr>
              <w:spacing w:before="120" w:after="0"/>
              <w:rPr>
                <w:rFonts w:ascii="Arial" w:hAnsi="Arial" w:cs="Arial"/>
                <w:bCs w:val="0"/>
                <w:color w:val="008EC4"/>
                <w:sz w:val="20"/>
                <w:szCs w:val="20"/>
              </w:rPr>
            </w:pPr>
            <w:proofErr w:type="spellStart"/>
            <w:r>
              <w:rPr>
                <w:rFonts w:ascii="Arial" w:hAnsi="Arial" w:cs="Arial"/>
                <w:bCs w:val="0"/>
                <w:color w:val="008EC4"/>
                <w:sz w:val="20"/>
                <w:szCs w:val="20"/>
              </w:rPr>
              <w:t>Nitroimidazoles</w:t>
            </w:r>
            <w:proofErr w:type="spellEnd"/>
          </w:p>
          <w:p w:rsidR="00121D83" w:rsidRDefault="00121D83" w:rsidP="00121D83">
            <w:pPr>
              <w:pStyle w:val="Graphhead"/>
              <w:numPr>
                <w:ilvl w:val="0"/>
                <w:numId w:val="8"/>
              </w:numPr>
              <w:spacing w:before="120" w:after="0"/>
              <w:rPr>
                <w:rFonts w:ascii="Arial" w:hAnsi="Arial" w:cs="Arial"/>
                <w:bCs w:val="0"/>
                <w:color w:val="008EC4"/>
                <w:sz w:val="20"/>
                <w:szCs w:val="20"/>
              </w:rPr>
            </w:pPr>
            <w:proofErr w:type="spellStart"/>
            <w:r>
              <w:rPr>
                <w:rFonts w:ascii="Arial" w:hAnsi="Arial" w:cs="Arial"/>
                <w:bCs w:val="0"/>
                <w:color w:val="008EC4"/>
                <w:sz w:val="20"/>
                <w:szCs w:val="20"/>
              </w:rPr>
              <w:t>Penicillins</w:t>
            </w:r>
            <w:proofErr w:type="spellEnd"/>
          </w:p>
          <w:p w:rsidR="00121D83" w:rsidRDefault="00121D83" w:rsidP="00121D83">
            <w:pPr>
              <w:pStyle w:val="Graphhead"/>
              <w:numPr>
                <w:ilvl w:val="0"/>
                <w:numId w:val="8"/>
              </w:numPr>
              <w:spacing w:before="120" w:after="0"/>
              <w:rPr>
                <w:rFonts w:ascii="Arial" w:hAnsi="Arial" w:cs="Arial"/>
                <w:bCs w:val="0"/>
                <w:color w:val="008EC4"/>
                <w:sz w:val="20"/>
                <w:szCs w:val="20"/>
              </w:rPr>
            </w:pPr>
            <w:r>
              <w:rPr>
                <w:rFonts w:ascii="Arial" w:hAnsi="Arial" w:cs="Arial"/>
                <w:bCs w:val="0"/>
                <w:color w:val="008EC4"/>
                <w:sz w:val="20"/>
                <w:szCs w:val="20"/>
              </w:rPr>
              <w:t>Quinolones</w:t>
            </w:r>
          </w:p>
          <w:p w:rsidR="00121D83" w:rsidRPr="00EE49F4" w:rsidRDefault="00121D83" w:rsidP="00121D83">
            <w:pPr>
              <w:pStyle w:val="Graphhead"/>
              <w:numPr>
                <w:ilvl w:val="0"/>
                <w:numId w:val="8"/>
              </w:numPr>
              <w:spacing w:before="120" w:after="120"/>
              <w:rPr>
                <w:rFonts w:ascii="Arial" w:hAnsi="Arial" w:cs="Arial"/>
                <w:bCs w:val="0"/>
                <w:color w:val="008EC4"/>
                <w:sz w:val="20"/>
                <w:szCs w:val="20"/>
              </w:rPr>
            </w:pPr>
            <w:proofErr w:type="spellStart"/>
            <w:r>
              <w:rPr>
                <w:rFonts w:ascii="Arial" w:hAnsi="Arial" w:cs="Arial"/>
                <w:bCs w:val="0"/>
                <w:color w:val="008EC4"/>
                <w:sz w:val="20"/>
                <w:szCs w:val="20"/>
              </w:rPr>
              <w:t>Tetracyclines</w:t>
            </w:r>
            <w:proofErr w:type="spellEnd"/>
          </w:p>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Antifungals</w:t>
            </w:r>
          </w:p>
          <w:p w:rsidR="00121D83" w:rsidRDefault="00121D83" w:rsidP="00121D83">
            <w:pPr>
              <w:pStyle w:val="Graphhead"/>
              <w:numPr>
                <w:ilvl w:val="0"/>
                <w:numId w:val="8"/>
              </w:numPr>
              <w:spacing w:before="120" w:after="120"/>
              <w:rPr>
                <w:rFonts w:ascii="Arial" w:hAnsi="Arial" w:cs="Arial"/>
                <w:bCs w:val="0"/>
                <w:color w:val="008EC4"/>
                <w:sz w:val="20"/>
                <w:szCs w:val="20"/>
              </w:rPr>
            </w:pPr>
            <w:r>
              <w:rPr>
                <w:rFonts w:ascii="Arial" w:hAnsi="Arial" w:cs="Arial"/>
                <w:bCs w:val="0"/>
                <w:color w:val="008EC4"/>
                <w:sz w:val="20"/>
                <w:szCs w:val="20"/>
              </w:rPr>
              <w:t>Other antifungals</w:t>
            </w:r>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121D83" w:rsidRDefault="00121D83" w:rsidP="008E256E">
            <w:pPr>
              <w:pStyle w:val="BodyTextBullets"/>
              <w:spacing w:before="120" w:after="120"/>
            </w:pPr>
            <w:r w:rsidRPr="00453AC1">
              <w:t>Inappropriate and overuse of antimicrobials contributes to the emergence of resistant bacteria and causes patient harm. In line with the principles of anti-microbial stewardship, prolonged treatment (i.e. longer than the standard course of treatment) should only be considered with medical practitioner advice. If there is no improvement or a worsening of clinical signs during the course of the treatment, the choice and dose of agent must be reviewed with referral for further investigation.</w:t>
            </w:r>
          </w:p>
          <w:p w:rsidR="00121D83" w:rsidRDefault="00121D83" w:rsidP="008E256E">
            <w:pPr>
              <w:pStyle w:val="BodyTextBullets"/>
              <w:spacing w:after="120"/>
            </w:pPr>
            <w:r w:rsidRPr="00453AC1">
              <w:t>IM and IV routes are restricted to use by podiatric surgeons only</w:t>
            </w:r>
            <w:r>
              <w:t>. IV routes</w:t>
            </w:r>
            <w:r w:rsidRPr="00453AC1">
              <w:t xml:space="preserve"> must only be used in association with a hospital admission (including a r</w:t>
            </w:r>
            <w:r>
              <w:t>egistered day surgery facility)</w:t>
            </w:r>
            <w:r w:rsidR="0069662C">
              <w:t>.</w:t>
            </w:r>
          </w:p>
          <w:p w:rsidR="00121D83" w:rsidRDefault="00121D83" w:rsidP="008E256E">
            <w:pPr>
              <w:pStyle w:val="BodyTextBullets"/>
              <w:spacing w:after="120"/>
            </w:pPr>
            <w:r w:rsidRPr="0072617C">
              <w:t>When route of administration by podiatric surgeon is intramuscular (IM), use is restricted to one bolus</w:t>
            </w:r>
            <w:r w:rsidRPr="006F21E5">
              <w:t xml:space="preserve"> injection  to initiate therapy</w:t>
            </w:r>
            <w:r w:rsidR="0069662C">
              <w:t>.</w:t>
            </w:r>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121D83" w:rsidRPr="00AE2F8B" w:rsidRDefault="00121D83" w:rsidP="008E256E">
            <w:pPr>
              <w:pStyle w:val="graphbody"/>
              <w:spacing w:before="120" w:after="120"/>
              <w:rPr>
                <w:rFonts w:ascii="Arial" w:hAnsi="Arial" w:cs="Arial"/>
                <w:color w:val="0070C0"/>
                <w:sz w:val="20"/>
                <w:szCs w:val="20"/>
              </w:rPr>
            </w:pPr>
            <w:proofErr w:type="spellStart"/>
            <w:r w:rsidRPr="00D84207">
              <w:rPr>
                <w:rFonts w:ascii="Arial" w:hAnsi="Arial" w:cs="Arial"/>
                <w:color w:val="0070C0"/>
                <w:sz w:val="20"/>
              </w:rPr>
              <w:t>Antibacterials</w:t>
            </w:r>
            <w:proofErr w:type="spellEnd"/>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rPr>
            </w:pPr>
            <w:proofErr w:type="spellStart"/>
            <w:r>
              <w:rPr>
                <w:rFonts w:ascii="Arial" w:hAnsi="Arial" w:cs="Arial"/>
                <w:color w:val="0070C0"/>
                <w:sz w:val="20"/>
              </w:rPr>
              <w:t>Cephalosporins</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Pr="00AE2F8B"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roofErr w:type="spellStart"/>
            <w:r>
              <w:t>Cef</w:t>
            </w:r>
            <w:r w:rsidRPr="00443F45">
              <w:t>alexin</w:t>
            </w:r>
            <w:proofErr w:type="spellEnd"/>
            <w:r>
              <w:t>*</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proofErr w:type="spellStart"/>
            <w:r w:rsidRPr="00D84207">
              <w:rPr>
                <w:rFonts w:ascii="Arial" w:hAnsi="Arial" w:cs="Arial"/>
                <w:color w:val="0070C0"/>
                <w:sz w:val="20"/>
                <w:szCs w:val="20"/>
                <w:lang w:val="en-GB"/>
              </w:rPr>
              <w:t>Lincosamides</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r w:rsidRPr="00D84207">
              <w:rPr>
                <w:lang w:val="en-GB"/>
              </w:rPr>
              <w:t>Clindamycin</w:t>
            </w:r>
          </w:p>
        </w:tc>
        <w:tc>
          <w:tcPr>
            <w:tcW w:w="6436" w:type="dxa"/>
            <w:tcBorders>
              <w:top w:val="single" w:sz="4" w:space="0" w:color="000000"/>
              <w:left w:val="single" w:sz="4" w:space="0" w:color="000000"/>
              <w:bottom w:val="single" w:sz="4" w:space="0" w:color="000000"/>
              <w:right w:val="single" w:sz="4" w:space="0" w:color="000000"/>
            </w:tcBorders>
          </w:tcPr>
          <w:p w:rsidR="00121D83" w:rsidRPr="002A687D" w:rsidRDefault="00121D83" w:rsidP="008E256E">
            <w:pPr>
              <w:pStyle w:val="AHPRAtabletext"/>
              <w:rPr>
                <w:rFonts w:cs="Arial"/>
              </w:rPr>
            </w:pP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r w:rsidRPr="00D84207">
              <w:rPr>
                <w:rFonts w:ascii="Arial" w:hAnsi="Arial" w:cs="Arial"/>
                <w:color w:val="0070C0"/>
                <w:sz w:val="20"/>
                <w:szCs w:val="20"/>
                <w:lang w:val="en-GB"/>
              </w:rPr>
              <w:t>Macrolides</w:t>
            </w:r>
          </w:p>
        </w:tc>
        <w:tc>
          <w:tcPr>
            <w:tcW w:w="6436" w:type="dxa"/>
            <w:tcBorders>
              <w:top w:val="single" w:sz="4" w:space="0" w:color="000000"/>
              <w:left w:val="single" w:sz="4" w:space="0" w:color="000000"/>
              <w:bottom w:val="single" w:sz="4" w:space="0" w:color="000000"/>
              <w:right w:val="single" w:sz="4" w:space="0" w:color="000000"/>
            </w:tcBorders>
          </w:tcPr>
          <w:p w:rsidR="00121D83" w:rsidRPr="00AE2F8B"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r w:rsidRPr="00D84207">
              <w:rPr>
                <w:lang w:val="en-GB"/>
              </w:rPr>
              <w:t>Erythromycin</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t>Restricted to p</w:t>
            </w:r>
            <w:r w:rsidRPr="00443F45">
              <w:t>odiatric surgeon only</w:t>
            </w:r>
          </w:p>
          <w:p w:rsidR="00121D83" w:rsidRDefault="00121D83" w:rsidP="008E256E">
            <w:pPr>
              <w:pStyle w:val="AHPRAtabletext"/>
              <w:rPr>
                <w:color w:val="0070C0"/>
              </w:rPr>
            </w:pPr>
            <w:r>
              <w:t>Route restricted to oral only</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proofErr w:type="spellStart"/>
            <w:r w:rsidRPr="00D84207">
              <w:rPr>
                <w:lang w:val="en-GB"/>
              </w:rPr>
              <w:t>Roxithromycin</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proofErr w:type="spellStart"/>
            <w:r w:rsidRPr="00D84207">
              <w:rPr>
                <w:rFonts w:ascii="Arial" w:hAnsi="Arial" w:cs="Arial"/>
                <w:color w:val="0070C0"/>
                <w:sz w:val="20"/>
                <w:szCs w:val="20"/>
                <w:lang w:val="en-GB"/>
              </w:rPr>
              <w:t>Nitroimidazoles</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Pr="00AE2F8B"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702"/>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r w:rsidRPr="00D84207">
              <w:rPr>
                <w:lang w:val="en-GB"/>
              </w:rPr>
              <w:t>Metronidazole</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lang w:val="en-GB"/>
              </w:rPr>
            </w:pPr>
            <w:r w:rsidRPr="00443F45">
              <w:rPr>
                <w:lang w:val="en-GB"/>
              </w:rPr>
              <w:t xml:space="preserve">IV </w:t>
            </w:r>
            <w:r>
              <w:rPr>
                <w:lang w:val="en-GB"/>
              </w:rPr>
              <w:t>route restricted to p</w:t>
            </w:r>
            <w:r w:rsidRPr="00443F45">
              <w:rPr>
                <w:lang w:val="en-GB"/>
              </w:rPr>
              <w:t xml:space="preserve">odiatric </w:t>
            </w:r>
            <w:r>
              <w:rPr>
                <w:lang w:val="en-GB"/>
              </w:rPr>
              <w:t>s</w:t>
            </w:r>
            <w:r w:rsidRPr="00443F45">
              <w:rPr>
                <w:lang w:val="en-GB"/>
              </w:rPr>
              <w:t>urgeon</w:t>
            </w:r>
            <w:r>
              <w:rPr>
                <w:lang w:val="en-GB"/>
              </w:rPr>
              <w:t xml:space="preserve"> only</w:t>
            </w:r>
          </w:p>
          <w:p w:rsidR="00121D83" w:rsidRDefault="00121D83" w:rsidP="008E256E">
            <w:pPr>
              <w:pStyle w:val="AHPRAtabletext"/>
            </w:pP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proofErr w:type="spellStart"/>
            <w:r w:rsidRPr="00D84207">
              <w:rPr>
                <w:rFonts w:ascii="Arial" w:hAnsi="Arial" w:cs="Arial"/>
                <w:color w:val="0070C0"/>
                <w:sz w:val="20"/>
                <w:szCs w:val="20"/>
                <w:lang w:val="en-GB"/>
              </w:rPr>
              <w:lastRenderedPageBreak/>
              <w:t>Penicillins</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lang w:val="en-GB"/>
              </w:rPr>
            </w:pPr>
            <w:r>
              <w:rPr>
                <w:lang w:val="en-GB"/>
              </w:rPr>
              <w:t>Amoxicillin</w:t>
            </w:r>
            <w:r w:rsidRPr="00D822BF">
              <w:rPr>
                <w:lang w:val="en-GB"/>
              </w:rPr>
              <w:t>*</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Pr>
                <w:lang w:val="en-GB"/>
              </w:rPr>
              <w:t xml:space="preserve">Intramuscular (IM) and </w:t>
            </w:r>
            <w:r w:rsidRPr="00443F45">
              <w:rPr>
                <w:lang w:val="en-GB"/>
              </w:rPr>
              <w:t xml:space="preserve">IV </w:t>
            </w:r>
            <w:r>
              <w:rPr>
                <w:lang w:val="en-GB"/>
              </w:rPr>
              <w:t>route restricted to p</w:t>
            </w:r>
            <w:r w:rsidRPr="00443F45">
              <w:rPr>
                <w:lang w:val="en-GB"/>
              </w:rPr>
              <w:t xml:space="preserve">odiatric </w:t>
            </w:r>
            <w:r>
              <w:rPr>
                <w:lang w:val="en-GB"/>
              </w:rPr>
              <w:t>s</w:t>
            </w:r>
            <w:r w:rsidRPr="00443F45">
              <w:rPr>
                <w:lang w:val="en-GB"/>
              </w:rPr>
              <w:t>urgeon</w:t>
            </w:r>
            <w:r>
              <w:rPr>
                <w:lang w:val="en-GB"/>
              </w:rPr>
              <w:t xml:space="preserve"> only</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lang w:val="en-GB"/>
              </w:rPr>
            </w:pPr>
            <w:r>
              <w:rPr>
                <w:lang w:val="en-GB"/>
              </w:rPr>
              <w:t>Amoxi</w:t>
            </w:r>
            <w:r w:rsidRPr="00443F45">
              <w:rPr>
                <w:lang w:val="en-GB"/>
              </w:rPr>
              <w:t>cillin</w:t>
            </w:r>
            <w:r>
              <w:rPr>
                <w:lang w:val="en-GB"/>
              </w:rPr>
              <w:t>*</w:t>
            </w:r>
            <w:r w:rsidRPr="00443F45">
              <w:rPr>
                <w:lang w:val="en-GB"/>
              </w:rPr>
              <w:t xml:space="preserve"> with clavulanic acid</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proofErr w:type="spellStart"/>
            <w:r w:rsidRPr="00D84207">
              <w:rPr>
                <w:lang w:val="en-GB"/>
              </w:rPr>
              <w:t>Dicloxacillin</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lang w:val="en-GB"/>
              </w:rPr>
            </w:pPr>
            <w:proofErr w:type="spellStart"/>
            <w:r>
              <w:t>Flucloxacillin</w:t>
            </w:r>
            <w:proofErr w:type="spellEnd"/>
            <w:r>
              <w:t xml:space="preserve"> sodium*</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Pr>
                <w:lang w:val="en-GB"/>
              </w:rPr>
              <w:t xml:space="preserve">IM and </w:t>
            </w:r>
            <w:r w:rsidRPr="00443F45">
              <w:rPr>
                <w:lang w:val="en-GB"/>
              </w:rPr>
              <w:t xml:space="preserve">IV </w:t>
            </w:r>
            <w:r>
              <w:rPr>
                <w:lang w:val="en-GB"/>
              </w:rPr>
              <w:t>route restricted to p</w:t>
            </w:r>
            <w:r w:rsidRPr="00443F45">
              <w:rPr>
                <w:lang w:val="en-GB"/>
              </w:rPr>
              <w:t xml:space="preserve">odiatric </w:t>
            </w:r>
            <w:r>
              <w:rPr>
                <w:lang w:val="en-GB"/>
              </w:rPr>
              <w:t>s</w:t>
            </w:r>
            <w:r w:rsidRPr="00443F45">
              <w:rPr>
                <w:lang w:val="en-GB"/>
              </w:rPr>
              <w:t>urgeon</w:t>
            </w:r>
            <w:r>
              <w:rPr>
                <w:lang w:val="en-GB"/>
              </w:rPr>
              <w:t xml:space="preserve"> only</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proofErr w:type="spellStart"/>
            <w:r w:rsidRPr="009C136C">
              <w:t>Phenoxymethylpenicillin</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72617C">
              <w:t>Restricted to podiatric surgeon only</w:t>
            </w:r>
          </w:p>
          <w:p w:rsidR="00121D83" w:rsidRDefault="00121D83" w:rsidP="008E256E">
            <w:pPr>
              <w:pStyle w:val="AHPRAtabletext"/>
            </w:pPr>
            <w:r w:rsidRPr="006F21E5">
              <w:t>Route restricted to oral only</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r w:rsidRPr="00D84207">
              <w:rPr>
                <w:rFonts w:ascii="Arial" w:hAnsi="Arial" w:cs="Arial"/>
                <w:color w:val="0070C0"/>
                <w:sz w:val="20"/>
                <w:szCs w:val="20"/>
                <w:lang w:val="en-GB"/>
              </w:rPr>
              <w:t>Quinolones</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r w:rsidRPr="00D84207">
              <w:rPr>
                <w:rFonts w:ascii="Arial" w:hAnsi="Arial" w:cs="Arial"/>
                <w:color w:val="auto"/>
                <w:sz w:val="20"/>
                <w:szCs w:val="20"/>
                <w:lang w:val="en-GB"/>
              </w:rPr>
              <w:t>Ciprofloxacin</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auto"/>
                <w:sz w:val="20"/>
                <w:szCs w:val="20"/>
              </w:rPr>
              <w:t>Route restricted to oral only</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proofErr w:type="spellStart"/>
            <w:r w:rsidRPr="00D84207">
              <w:rPr>
                <w:rFonts w:ascii="Arial" w:hAnsi="Arial" w:cs="Arial"/>
                <w:color w:val="0070C0"/>
                <w:sz w:val="20"/>
                <w:szCs w:val="20"/>
                <w:lang w:val="en-GB"/>
              </w:rPr>
              <w:t>Tetracyclines</w:t>
            </w:r>
            <w:proofErr w:type="spellEnd"/>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 additional notes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r>
              <w:rPr>
                <w:lang w:val="en-GB"/>
              </w:rPr>
              <w:t xml:space="preserve">Doxycycline </w:t>
            </w:r>
            <w:proofErr w:type="spellStart"/>
            <w:r>
              <w:rPr>
                <w:lang w:val="en-GB"/>
              </w:rPr>
              <w:t>hyclate</w:t>
            </w:r>
            <w:proofErr w:type="spellEnd"/>
            <w:r>
              <w:rPr>
                <w:lang w:val="en-GB"/>
              </w:rPr>
              <w:t xml:space="preserve"> (hydrochloride)*</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t>Restricted to p</w:t>
            </w:r>
            <w:r w:rsidRPr="00443F45">
              <w:t>odiatric surgeon only</w:t>
            </w:r>
          </w:p>
          <w:p w:rsidR="00121D83" w:rsidRDefault="00121D83" w:rsidP="008E256E">
            <w:pPr>
              <w:pStyle w:val="AHPRAtabletext"/>
              <w:rPr>
                <w:color w:val="0070C0"/>
              </w:rPr>
            </w:pPr>
            <w:r>
              <w:t>Route restricted to oral only</w:t>
            </w:r>
          </w:p>
        </w:tc>
      </w:tr>
      <w:tr w:rsidR="00B63A92" w:rsidTr="006F3FE6">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B63A92" w:rsidRDefault="00B63A92" w:rsidP="008E256E">
            <w:pPr>
              <w:pStyle w:val="AHPRAtabletext"/>
            </w:pPr>
            <w:r w:rsidRPr="00B63A92">
              <w:rPr>
                <w:rFonts w:cs="Arial"/>
                <w:color w:val="0070C0"/>
                <w:lang w:val="en-GB"/>
              </w:rPr>
              <w:t>Antifungals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lang w:val="en-GB"/>
              </w:rPr>
            </w:pPr>
            <w:r w:rsidRPr="00D84207">
              <w:rPr>
                <w:rFonts w:ascii="Arial" w:hAnsi="Arial" w:cs="Arial"/>
                <w:color w:val="0070C0"/>
                <w:sz w:val="20"/>
                <w:szCs w:val="20"/>
                <w:lang w:val="en-GB"/>
              </w:rPr>
              <w:t>Other antifungals</w:t>
            </w:r>
          </w:p>
        </w:tc>
        <w:tc>
          <w:tcPr>
            <w:tcW w:w="643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r w:rsidRPr="00D84207">
              <w:rPr>
                <w:lang w:val="en-GB"/>
              </w:rPr>
              <w:t>Terbinafine</w:t>
            </w:r>
          </w:p>
        </w:tc>
        <w:tc>
          <w:tcPr>
            <w:tcW w:w="6436" w:type="dxa"/>
            <w:vMerge w:val="restart"/>
            <w:tcBorders>
              <w:top w:val="single" w:sz="4" w:space="0" w:color="000000"/>
              <w:left w:val="single" w:sz="4" w:space="0" w:color="000000"/>
              <w:right w:val="single" w:sz="4" w:space="0" w:color="000000"/>
            </w:tcBorders>
          </w:tcPr>
          <w:p w:rsidR="00121D83" w:rsidRDefault="00121D83" w:rsidP="008E256E">
            <w:pPr>
              <w:pStyle w:val="AHPRAtabletext"/>
            </w:pPr>
            <w:r w:rsidRPr="00D553B4">
              <w:t xml:space="preserve">When oral therapy using antifungal agents is initiated by a podiatrist or podiatric surgeon with endorsement for scheduled medicines, the prescriber must inform, request and ensure agreement from a medical practitioner with regard to who takes responsibility for monitoring the systemic status of the patient in line with the principles of Quality Use of Medicines (QUM). </w:t>
            </w:r>
          </w:p>
        </w:tc>
      </w:tr>
      <w:tr w:rsidR="00121D83" w:rsidTr="008E256E">
        <w:trPr>
          <w:cantSplit/>
          <w:trHeight w:val="60"/>
        </w:trPr>
        <w:tc>
          <w:tcPr>
            <w:tcW w:w="280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lang w:val="en-GB"/>
              </w:rPr>
            </w:pPr>
            <w:proofErr w:type="spellStart"/>
            <w:r w:rsidRPr="00D84207">
              <w:rPr>
                <w:lang w:val="en-GB"/>
              </w:rPr>
              <w:t>Griseofulvin</w:t>
            </w:r>
            <w:proofErr w:type="spellEnd"/>
          </w:p>
        </w:tc>
        <w:tc>
          <w:tcPr>
            <w:tcW w:w="6436" w:type="dxa"/>
            <w:vMerge/>
            <w:tcBorders>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p>
        </w:tc>
      </w:tr>
    </w:tbl>
    <w:p w:rsidR="00121D83" w:rsidRDefault="00121D83" w:rsidP="00121D83">
      <w:pPr>
        <w:spacing w:after="0"/>
        <w:rPr>
          <w:rFonts w:cs="Arial"/>
          <w:bCs/>
          <w:szCs w:val="20"/>
        </w:rPr>
      </w:pPr>
      <w:r>
        <w:rPr>
          <w:rFonts w:cs="Arial"/>
          <w:b/>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lastRenderedPageBreak/>
              <w:t>Dermatological Drugs</w:t>
            </w:r>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Drugs for eczema</w:t>
            </w:r>
          </w:p>
          <w:p w:rsidR="00121D83" w:rsidRDefault="00121D83" w:rsidP="00121D83">
            <w:pPr>
              <w:pStyle w:val="Graphhead"/>
              <w:numPr>
                <w:ilvl w:val="0"/>
                <w:numId w:val="8"/>
              </w:numPr>
              <w:spacing w:before="120" w:after="120"/>
              <w:rPr>
                <w:rFonts w:ascii="Arial" w:hAnsi="Arial" w:cs="Arial"/>
                <w:bCs w:val="0"/>
                <w:color w:val="008EC4"/>
                <w:sz w:val="20"/>
                <w:szCs w:val="20"/>
              </w:rPr>
            </w:pPr>
            <w:r>
              <w:rPr>
                <w:rFonts w:ascii="Arial" w:hAnsi="Arial" w:cs="Arial"/>
                <w:bCs w:val="0"/>
                <w:color w:val="008EC4"/>
                <w:sz w:val="20"/>
                <w:szCs w:val="20"/>
              </w:rPr>
              <w:t>Corticosteroids (skin)</w:t>
            </w:r>
          </w:p>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Drugs for skin infections</w:t>
            </w:r>
          </w:p>
          <w:p w:rsidR="00121D83" w:rsidRDefault="00121D83" w:rsidP="00121D83">
            <w:pPr>
              <w:pStyle w:val="Graphhead"/>
              <w:numPr>
                <w:ilvl w:val="0"/>
                <w:numId w:val="8"/>
              </w:numPr>
              <w:spacing w:before="120" w:after="0"/>
              <w:rPr>
                <w:rFonts w:ascii="Arial" w:hAnsi="Arial" w:cs="Arial"/>
                <w:bCs w:val="0"/>
                <w:color w:val="008EC4"/>
                <w:sz w:val="20"/>
                <w:szCs w:val="20"/>
              </w:rPr>
            </w:pPr>
            <w:r>
              <w:rPr>
                <w:rFonts w:ascii="Arial" w:hAnsi="Arial" w:cs="Arial"/>
                <w:bCs w:val="0"/>
                <w:color w:val="008EC4"/>
                <w:sz w:val="20"/>
                <w:szCs w:val="20"/>
              </w:rPr>
              <w:t>Azoles (skin)</w:t>
            </w:r>
          </w:p>
          <w:p w:rsidR="00121D83" w:rsidRDefault="00121D83" w:rsidP="00121D83">
            <w:pPr>
              <w:pStyle w:val="Graphhead"/>
              <w:numPr>
                <w:ilvl w:val="0"/>
                <w:numId w:val="8"/>
              </w:numPr>
              <w:spacing w:after="0"/>
              <w:rPr>
                <w:rFonts w:ascii="Arial" w:hAnsi="Arial" w:cs="Arial"/>
                <w:bCs w:val="0"/>
                <w:color w:val="008EC4"/>
                <w:sz w:val="20"/>
                <w:szCs w:val="20"/>
              </w:rPr>
            </w:pPr>
            <w:r>
              <w:rPr>
                <w:rFonts w:ascii="Arial" w:hAnsi="Arial" w:cs="Arial"/>
                <w:bCs w:val="0"/>
                <w:color w:val="008EC4"/>
                <w:sz w:val="20"/>
                <w:szCs w:val="20"/>
              </w:rPr>
              <w:t>Other antifungals (skin)</w:t>
            </w:r>
          </w:p>
          <w:p w:rsidR="00121D83" w:rsidRDefault="00121D83" w:rsidP="00121D83">
            <w:pPr>
              <w:pStyle w:val="Graphhead"/>
              <w:numPr>
                <w:ilvl w:val="0"/>
                <w:numId w:val="8"/>
              </w:numPr>
              <w:spacing w:after="0"/>
              <w:rPr>
                <w:rFonts w:ascii="Arial" w:hAnsi="Arial" w:cs="Arial"/>
                <w:bCs w:val="0"/>
                <w:color w:val="008EC4"/>
                <w:sz w:val="20"/>
                <w:szCs w:val="20"/>
              </w:rPr>
            </w:pPr>
            <w:r>
              <w:rPr>
                <w:rFonts w:ascii="Arial" w:hAnsi="Arial" w:cs="Arial"/>
                <w:bCs w:val="0"/>
                <w:color w:val="008EC4"/>
                <w:sz w:val="20"/>
                <w:szCs w:val="20"/>
              </w:rPr>
              <w:t>Anti-</w:t>
            </w:r>
            <w:proofErr w:type="spellStart"/>
            <w:r>
              <w:rPr>
                <w:rFonts w:ascii="Arial" w:hAnsi="Arial" w:cs="Arial"/>
                <w:bCs w:val="0"/>
                <w:color w:val="008EC4"/>
                <w:sz w:val="20"/>
                <w:szCs w:val="20"/>
              </w:rPr>
              <w:t>bacterials</w:t>
            </w:r>
            <w:proofErr w:type="spellEnd"/>
            <w:r>
              <w:rPr>
                <w:rFonts w:ascii="Arial" w:hAnsi="Arial" w:cs="Arial"/>
                <w:bCs w:val="0"/>
                <w:color w:val="008EC4"/>
                <w:sz w:val="20"/>
                <w:szCs w:val="20"/>
              </w:rPr>
              <w:t xml:space="preserve"> (skin)</w:t>
            </w:r>
          </w:p>
          <w:p w:rsidR="00121D83" w:rsidRPr="00227D35"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 xml:space="preserve">Drugs for actinic </w:t>
            </w:r>
            <w:proofErr w:type="spellStart"/>
            <w:r>
              <w:rPr>
                <w:rFonts w:ascii="Arial" w:hAnsi="Arial" w:cs="Arial"/>
                <w:bCs w:val="0"/>
                <w:color w:val="008EC4"/>
                <w:sz w:val="20"/>
                <w:szCs w:val="20"/>
              </w:rPr>
              <w:t>keratoses</w:t>
            </w:r>
            <w:proofErr w:type="spellEnd"/>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74762C">
              <w:t>References to the word ‘skin’ against some medicines generally refer to the topical application of the medicine, rather</w:t>
            </w:r>
            <w:r w:rsidR="0069662C">
              <w:t xml:space="preserve"> than</w:t>
            </w:r>
            <w:r w:rsidRPr="0074762C">
              <w:t xml:space="preserve"> the treatment of a skin condition</w:t>
            </w:r>
            <w:r w:rsidR="0069662C">
              <w:t>.</w:t>
            </w:r>
          </w:p>
        </w:tc>
      </w:tr>
      <w:tr w:rsidR="00B63A92"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B63A92" w:rsidRPr="0074762C" w:rsidRDefault="00B63A92" w:rsidP="008E256E">
            <w:pPr>
              <w:pStyle w:val="AHPRAtabletext"/>
            </w:pPr>
            <w:r w:rsidRPr="00B63A92">
              <w:rPr>
                <w:rFonts w:cs="Arial"/>
                <w:color w:val="0070C0"/>
              </w:rPr>
              <w:t>Drugs for eczema</w:t>
            </w:r>
          </w:p>
        </w:tc>
      </w:tr>
      <w:tr w:rsidR="00121D83" w:rsidTr="008E256E">
        <w:trPr>
          <w:cantSplit/>
          <w:trHeight w:val="57"/>
        </w:trPr>
        <w:tc>
          <w:tcPr>
            <w:tcW w:w="2660" w:type="dxa"/>
            <w:tcBorders>
              <w:top w:val="single" w:sz="4" w:space="0" w:color="000000"/>
              <w:left w:val="single" w:sz="4" w:space="0" w:color="000000"/>
              <w:bottom w:val="single" w:sz="4" w:space="0" w:color="000000"/>
              <w:right w:val="single" w:sz="4" w:space="0" w:color="000000"/>
            </w:tcBorders>
          </w:tcPr>
          <w:p w:rsidR="00121D83" w:rsidRPr="00322B6F" w:rsidRDefault="00121D83" w:rsidP="008E256E">
            <w:pPr>
              <w:pStyle w:val="graphbody"/>
              <w:spacing w:before="110" w:after="110" w:line="240" w:lineRule="auto"/>
              <w:rPr>
                <w:rFonts w:ascii="Arial" w:hAnsi="Arial" w:cs="Arial"/>
                <w:color w:val="0070C0"/>
                <w:sz w:val="20"/>
                <w:szCs w:val="20"/>
              </w:rPr>
            </w:pPr>
            <w:r w:rsidRPr="00322B6F">
              <w:rPr>
                <w:rFonts w:ascii="Arial" w:hAnsi="Arial" w:cs="Arial"/>
                <w:color w:val="0070C0"/>
                <w:sz w:val="20"/>
                <w:szCs w:val="20"/>
              </w:rPr>
              <w:t>Corticosteroids</w:t>
            </w:r>
          </w:p>
        </w:tc>
        <w:tc>
          <w:tcPr>
            <w:tcW w:w="6582" w:type="dxa"/>
            <w:tcBorders>
              <w:top w:val="single" w:sz="4" w:space="0" w:color="000000"/>
              <w:left w:val="single" w:sz="4" w:space="0" w:color="000000"/>
              <w:bottom w:val="single" w:sz="4" w:space="0" w:color="000000"/>
              <w:right w:val="single" w:sz="4" w:space="0" w:color="000000"/>
            </w:tcBorders>
          </w:tcPr>
          <w:p w:rsidR="00121D83" w:rsidRPr="00433593" w:rsidRDefault="00121D83" w:rsidP="008E256E">
            <w:pPr>
              <w:pStyle w:val="graphbody"/>
              <w:spacing w:before="110" w:after="110" w:line="240" w:lineRule="auto"/>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D84207">
              <w:t>Betamethasone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proofErr w:type="spellStart"/>
            <w:r w:rsidRPr="00D84207">
              <w:t>Desonide</w:t>
            </w:r>
            <w:proofErr w:type="spellEnd"/>
            <w:r>
              <w:t xml:space="preserv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D84207">
              <w:t>Hydrocortisone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D84207">
              <w:t>Methylprednisolone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proofErr w:type="spellStart"/>
            <w:r w:rsidRPr="00D84207">
              <w:t>Mometasone</w:t>
            </w:r>
            <w:proofErr w:type="spellEnd"/>
            <w:r w:rsidRPr="00D84207">
              <w:t xml:space="preserv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D84207">
              <w:t>Triamcinolone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B63A92" w:rsidTr="00490634">
        <w:trPr>
          <w:cantSplit/>
          <w:trHeight w:val="62"/>
        </w:trPr>
        <w:tc>
          <w:tcPr>
            <w:tcW w:w="9242" w:type="dxa"/>
            <w:gridSpan w:val="2"/>
            <w:tcBorders>
              <w:top w:val="single" w:sz="4" w:space="0" w:color="000000"/>
              <w:left w:val="single" w:sz="4" w:space="0" w:color="000000"/>
              <w:bottom w:val="single" w:sz="4" w:space="0" w:color="000000"/>
              <w:right w:val="single" w:sz="4" w:space="0" w:color="000000"/>
            </w:tcBorders>
          </w:tcPr>
          <w:p w:rsidR="00B63A92" w:rsidRDefault="00B63A92" w:rsidP="008E256E">
            <w:pPr>
              <w:pStyle w:val="AHPRAtabletext"/>
              <w:rPr>
                <w:rFonts w:cs="Arial"/>
                <w:color w:val="0070C0"/>
              </w:rPr>
            </w:pPr>
            <w:r>
              <w:rPr>
                <w:rFonts w:cs="Arial"/>
                <w:color w:val="0070C0"/>
              </w:rPr>
              <w:t>Drugs for skin infections</w:t>
            </w: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10" w:after="110" w:line="240" w:lineRule="auto"/>
              <w:rPr>
                <w:rFonts w:ascii="Arial" w:hAnsi="Arial" w:cs="Arial"/>
                <w:color w:val="0070C0"/>
                <w:sz w:val="20"/>
                <w:szCs w:val="20"/>
              </w:rPr>
            </w:pPr>
            <w:r w:rsidRPr="00322B6F">
              <w:rPr>
                <w:rFonts w:ascii="Arial" w:hAnsi="Arial" w:cs="Arial"/>
                <w:color w:val="0070C0"/>
                <w:sz w:val="20"/>
                <w:szCs w:val="20"/>
              </w:rPr>
              <w:t>Azoles</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10" w:after="110" w:line="240" w:lineRule="auto"/>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proofErr w:type="spellStart"/>
            <w:r w:rsidRPr="00D84207">
              <w:t>Bifonazole</w:t>
            </w:r>
            <w:proofErr w:type="spellEnd"/>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proofErr w:type="spellStart"/>
            <w:r w:rsidRPr="00D84207">
              <w:t>Clotrimazole</w:t>
            </w:r>
            <w:proofErr w:type="spellEnd"/>
            <w:r w:rsidRPr="00D84207">
              <w:t xml:space="preserv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proofErr w:type="spellStart"/>
            <w:r w:rsidRPr="00D84207">
              <w:t>Econazole</w:t>
            </w:r>
            <w:proofErr w:type="spellEnd"/>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D84207">
              <w:t>Ketoconazole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D84207">
              <w:t>Miconazole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10" w:after="110" w:line="240" w:lineRule="auto"/>
              <w:rPr>
                <w:rFonts w:ascii="Arial" w:hAnsi="Arial" w:cs="Arial"/>
                <w:color w:val="0070C0"/>
                <w:sz w:val="20"/>
                <w:szCs w:val="20"/>
              </w:rPr>
            </w:pPr>
            <w:r w:rsidRPr="00EE49F4">
              <w:rPr>
                <w:rFonts w:ascii="Arial" w:hAnsi="Arial" w:cs="Arial"/>
                <w:color w:val="0070C0"/>
                <w:sz w:val="20"/>
                <w:szCs w:val="20"/>
              </w:rPr>
              <w:t>Other antifungals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10" w:after="110" w:line="240" w:lineRule="auto"/>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Pr="00790DA2" w:rsidRDefault="00121D83" w:rsidP="008E256E">
            <w:pPr>
              <w:pStyle w:val="AHPRAtabletext"/>
            </w:pPr>
            <w:proofErr w:type="spellStart"/>
            <w:r w:rsidRPr="00D84207">
              <w:t>Amorolfine</w:t>
            </w:r>
            <w:proofErr w:type="spellEnd"/>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Pr="00790DA2" w:rsidRDefault="00121D83" w:rsidP="008E256E">
            <w:pPr>
              <w:pStyle w:val="AHPRAtabletext"/>
            </w:pPr>
            <w:r w:rsidRPr="00D84207">
              <w:t>Nystatin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Pr="00790DA2" w:rsidRDefault="00121D83" w:rsidP="008E256E">
            <w:pPr>
              <w:pStyle w:val="AHPRAtabletext"/>
            </w:pPr>
            <w:r w:rsidRPr="00D84207">
              <w:t>Terbinafine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10" w:after="110" w:line="240" w:lineRule="auto"/>
              <w:rPr>
                <w:rFonts w:ascii="Arial" w:hAnsi="Arial" w:cs="Arial"/>
                <w:color w:val="0070C0"/>
                <w:sz w:val="20"/>
                <w:szCs w:val="20"/>
              </w:rPr>
            </w:pPr>
            <w:r>
              <w:rPr>
                <w:rFonts w:ascii="Arial" w:hAnsi="Arial" w:cs="Arial"/>
                <w:color w:val="0070C0"/>
                <w:sz w:val="20"/>
                <w:szCs w:val="20"/>
              </w:rPr>
              <w:lastRenderedPageBreak/>
              <w:t>Anti-</w:t>
            </w:r>
            <w:proofErr w:type="spellStart"/>
            <w:r>
              <w:rPr>
                <w:rFonts w:ascii="Arial" w:hAnsi="Arial" w:cs="Arial"/>
                <w:color w:val="0070C0"/>
                <w:sz w:val="20"/>
                <w:szCs w:val="20"/>
              </w:rPr>
              <w:t>bacterials</w:t>
            </w:r>
            <w:proofErr w:type="spellEnd"/>
            <w:r>
              <w:rPr>
                <w:rFonts w:ascii="Arial" w:hAnsi="Arial" w:cs="Arial"/>
                <w:color w:val="0070C0"/>
                <w:sz w:val="20"/>
                <w:szCs w:val="20"/>
              </w:rPr>
              <w:t xml:space="preserve">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10" w:after="110" w:line="240" w:lineRule="auto"/>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line="240" w:lineRule="auto"/>
              <w:rPr>
                <w:rFonts w:ascii="Arial" w:hAnsi="Arial" w:cs="Arial"/>
                <w:color w:val="0070C0"/>
                <w:sz w:val="20"/>
                <w:szCs w:val="20"/>
              </w:rPr>
            </w:pPr>
            <w:r w:rsidRPr="00D84207">
              <w:rPr>
                <w:rFonts w:ascii="Arial" w:hAnsi="Arial" w:cs="Arial"/>
                <w:color w:val="auto"/>
                <w:sz w:val="20"/>
                <w:szCs w:val="20"/>
              </w:rPr>
              <w:t>Mupirocin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line="240" w:lineRule="auto"/>
              <w:rPr>
                <w:rFonts w:ascii="Arial" w:hAnsi="Arial" w:cs="Arial"/>
                <w:color w:val="0070C0"/>
                <w:sz w:val="20"/>
                <w:szCs w:val="2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line="240" w:lineRule="auto"/>
              <w:rPr>
                <w:rFonts w:ascii="Arial" w:hAnsi="Arial" w:cs="Arial"/>
                <w:color w:val="0070C0"/>
                <w:sz w:val="20"/>
                <w:szCs w:val="20"/>
              </w:rPr>
            </w:pPr>
            <w:r w:rsidRPr="00D84207">
              <w:rPr>
                <w:rFonts w:ascii="Arial" w:hAnsi="Arial" w:cs="Arial"/>
                <w:color w:val="auto"/>
                <w:sz w:val="20"/>
                <w:szCs w:val="20"/>
              </w:rPr>
              <w:t>Silver sulfadiazine</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line="240" w:lineRule="auto"/>
              <w:rPr>
                <w:rFonts w:ascii="Arial" w:hAnsi="Arial" w:cs="Arial"/>
                <w:color w:val="0070C0"/>
                <w:sz w:val="20"/>
                <w:szCs w:val="20"/>
              </w:rPr>
            </w:pP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Pr="00CF0C91" w:rsidRDefault="00121D83" w:rsidP="008E256E">
            <w:pPr>
              <w:pStyle w:val="graphbody"/>
              <w:spacing w:before="110" w:after="110" w:line="240" w:lineRule="auto"/>
              <w:rPr>
                <w:rFonts w:ascii="Arial" w:hAnsi="Arial" w:cs="Arial"/>
                <w:color w:val="auto"/>
                <w:sz w:val="20"/>
                <w:szCs w:val="20"/>
              </w:rPr>
            </w:pPr>
            <w:r w:rsidRPr="00D84207">
              <w:rPr>
                <w:rFonts w:ascii="Arial" w:hAnsi="Arial" w:cs="Arial"/>
                <w:color w:val="0070C0"/>
                <w:sz w:val="20"/>
                <w:szCs w:val="20"/>
              </w:rPr>
              <w:t xml:space="preserve">Drugs for actinic </w:t>
            </w:r>
            <w:proofErr w:type="spellStart"/>
            <w:r w:rsidRPr="00D84207">
              <w:rPr>
                <w:rFonts w:ascii="Arial" w:hAnsi="Arial" w:cs="Arial"/>
                <w:color w:val="0070C0"/>
                <w:sz w:val="20"/>
                <w:szCs w:val="20"/>
              </w:rPr>
              <w:t>keratoses</w:t>
            </w:r>
            <w:proofErr w:type="spellEnd"/>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10" w:after="110" w:line="240" w:lineRule="auto"/>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2"/>
        </w:trPr>
        <w:tc>
          <w:tcPr>
            <w:tcW w:w="2660"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line="240" w:lineRule="auto"/>
              <w:rPr>
                <w:rFonts w:ascii="Arial" w:hAnsi="Arial" w:cs="Arial"/>
                <w:color w:val="auto"/>
                <w:sz w:val="20"/>
                <w:szCs w:val="20"/>
              </w:rPr>
            </w:pPr>
            <w:r>
              <w:rPr>
                <w:rFonts w:ascii="Arial" w:hAnsi="Arial" w:cs="Arial"/>
                <w:color w:val="auto"/>
                <w:sz w:val="20"/>
                <w:szCs w:val="20"/>
              </w:rPr>
              <w:t>Diclofenac (skin)</w:t>
            </w:r>
          </w:p>
        </w:tc>
        <w:tc>
          <w:tcPr>
            <w:tcW w:w="6582"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line="240" w:lineRule="auto"/>
              <w:rPr>
                <w:rFonts w:ascii="Arial" w:hAnsi="Arial" w:cs="Arial"/>
                <w:color w:val="0070C0"/>
                <w:sz w:val="20"/>
                <w:szCs w:val="20"/>
              </w:rPr>
            </w:pPr>
          </w:p>
        </w:tc>
      </w:tr>
    </w:tbl>
    <w:p w:rsidR="00121D83" w:rsidRDefault="00121D83" w:rsidP="00121D83">
      <w:pPr>
        <w:pStyle w:val="AHPRA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6623"/>
      </w:tblGrid>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proofErr w:type="spellStart"/>
            <w:r>
              <w:rPr>
                <w:rFonts w:ascii="Arial" w:hAnsi="Arial" w:cs="Arial"/>
                <w:bCs w:val="0"/>
                <w:color w:val="008EC4"/>
                <w:sz w:val="20"/>
                <w:szCs w:val="20"/>
              </w:rPr>
              <w:t>Immunomodulators</w:t>
            </w:r>
            <w:proofErr w:type="spellEnd"/>
            <w:r>
              <w:rPr>
                <w:rFonts w:ascii="Arial" w:hAnsi="Arial" w:cs="Arial"/>
                <w:bCs w:val="0"/>
                <w:color w:val="008EC4"/>
                <w:sz w:val="20"/>
                <w:szCs w:val="20"/>
              </w:rPr>
              <w:t xml:space="preserve"> and </w:t>
            </w:r>
            <w:proofErr w:type="spellStart"/>
            <w:r>
              <w:rPr>
                <w:rFonts w:ascii="Arial" w:hAnsi="Arial" w:cs="Arial"/>
                <w:bCs w:val="0"/>
                <w:color w:val="008EC4"/>
                <w:sz w:val="20"/>
                <w:szCs w:val="20"/>
              </w:rPr>
              <w:t>antineoplastics</w:t>
            </w:r>
            <w:proofErr w:type="spellEnd"/>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proofErr w:type="spellStart"/>
            <w:r>
              <w:rPr>
                <w:rFonts w:ascii="Arial" w:hAnsi="Arial" w:cs="Arial"/>
                <w:bCs w:val="0"/>
                <w:color w:val="008EC4"/>
                <w:sz w:val="20"/>
                <w:szCs w:val="20"/>
              </w:rPr>
              <w:t>Immunosuppressants</w:t>
            </w:r>
            <w:proofErr w:type="spellEnd"/>
          </w:p>
          <w:p w:rsidR="00121D83" w:rsidRPr="002326AB" w:rsidRDefault="00121D83" w:rsidP="00121D83">
            <w:pPr>
              <w:pStyle w:val="Graphhead"/>
              <w:numPr>
                <w:ilvl w:val="0"/>
                <w:numId w:val="8"/>
              </w:numPr>
              <w:spacing w:before="120" w:after="0"/>
              <w:rPr>
                <w:rFonts w:ascii="Arial" w:hAnsi="Arial" w:cs="Arial"/>
                <w:bCs w:val="0"/>
                <w:color w:val="008EC4"/>
                <w:sz w:val="20"/>
                <w:szCs w:val="20"/>
              </w:rPr>
            </w:pPr>
            <w:r>
              <w:rPr>
                <w:rFonts w:ascii="Arial" w:hAnsi="Arial" w:cs="Arial"/>
                <w:bCs w:val="0"/>
                <w:color w:val="008EC4"/>
                <w:sz w:val="20"/>
                <w:szCs w:val="20"/>
              </w:rPr>
              <w:t>Corticosteroids</w:t>
            </w:r>
            <w:r>
              <w:rPr>
                <w:rFonts w:ascii="Arial" w:hAnsi="Arial" w:cs="Arial"/>
                <w:bCs w:val="0"/>
                <w:color w:val="008EC4"/>
                <w:sz w:val="20"/>
                <w:szCs w:val="20"/>
              </w:rPr>
              <w:br/>
            </w:r>
          </w:p>
        </w:tc>
      </w:tr>
      <w:tr w:rsidR="00121D83" w:rsidTr="008E256E">
        <w:trPr>
          <w:cantSplit/>
          <w:trHeight w:val="60"/>
        </w:trPr>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auto"/>
                <w:sz w:val="20"/>
                <w:szCs w:val="20"/>
              </w:rPr>
            </w:pPr>
            <w:r>
              <w:rPr>
                <w:rFonts w:ascii="Arial" w:hAnsi="Arial" w:cs="Arial"/>
                <w:color w:val="0070C0"/>
                <w:sz w:val="20"/>
                <w:szCs w:val="20"/>
              </w:rPr>
              <w:t>Corticosteroids</w:t>
            </w:r>
          </w:p>
        </w:tc>
        <w:tc>
          <w:tcPr>
            <w:tcW w:w="6623"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RPr="007C1BF4" w:rsidTr="008E256E">
        <w:trPr>
          <w:cantSplit/>
          <w:trHeight w:val="60"/>
        </w:trPr>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pPr>
            <w:r w:rsidRPr="001B5BF7">
              <w:t>Dexamethasone</w:t>
            </w:r>
          </w:p>
        </w:tc>
        <w:tc>
          <w:tcPr>
            <w:tcW w:w="6623" w:type="dxa"/>
            <w:tcBorders>
              <w:top w:val="single" w:sz="4" w:space="0" w:color="000000"/>
              <w:left w:val="single" w:sz="4" w:space="0" w:color="000000"/>
              <w:right w:val="single" w:sz="4" w:space="0" w:color="000000"/>
            </w:tcBorders>
          </w:tcPr>
          <w:p w:rsidR="00121D83" w:rsidRDefault="00121D83" w:rsidP="008E256E">
            <w:pPr>
              <w:pStyle w:val="AHPRAtabletext"/>
            </w:pPr>
            <w:r>
              <w:t>Injection only</w:t>
            </w:r>
          </w:p>
          <w:p w:rsidR="00121D83" w:rsidRDefault="00121D83" w:rsidP="008E256E">
            <w:pPr>
              <w:pStyle w:val="AHPRAtabletext"/>
            </w:pPr>
            <w:r>
              <w:t>Injection limited to treatment of podiatric conditions where there is evidence or best practice recommendations to support its use</w:t>
            </w:r>
            <w:r w:rsidR="0069662C">
              <w:t>.</w:t>
            </w:r>
          </w:p>
        </w:tc>
      </w:tr>
      <w:tr w:rsidR="00121D83" w:rsidTr="008E256E">
        <w:trPr>
          <w:cantSplit/>
          <w:trHeight w:val="60"/>
        </w:trPr>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color w:val="0070C0"/>
              </w:rPr>
            </w:pPr>
            <w:r w:rsidRPr="001B5BF7">
              <w:t xml:space="preserve">Betamethasone </w:t>
            </w:r>
          </w:p>
        </w:tc>
        <w:tc>
          <w:tcPr>
            <w:tcW w:w="6623" w:type="dxa"/>
            <w:vMerge w:val="restart"/>
            <w:tcBorders>
              <w:left w:val="single" w:sz="4" w:space="0" w:color="000000"/>
              <w:right w:val="single" w:sz="4" w:space="0" w:color="000000"/>
            </w:tcBorders>
          </w:tcPr>
          <w:p w:rsidR="00121D83" w:rsidRDefault="00121D83" w:rsidP="008E256E">
            <w:pPr>
              <w:pStyle w:val="AHPRAtabletext"/>
            </w:pPr>
            <w:r>
              <w:t>Injection and topical only</w:t>
            </w:r>
          </w:p>
          <w:p w:rsidR="00121D83" w:rsidRDefault="00121D83" w:rsidP="008E256E">
            <w:pPr>
              <w:pStyle w:val="AHPRAtabletext"/>
            </w:pPr>
            <w:r>
              <w:t xml:space="preserve">Injection limited </w:t>
            </w:r>
            <w:proofErr w:type="gramStart"/>
            <w:r>
              <w:t>to  treatment</w:t>
            </w:r>
            <w:proofErr w:type="gramEnd"/>
            <w:r>
              <w:t xml:space="preserve"> of podiatric conditions where there is evidence or best practice recommendations to support its use</w:t>
            </w:r>
            <w:r w:rsidR="0069662C">
              <w:t>.</w:t>
            </w:r>
          </w:p>
        </w:tc>
      </w:tr>
      <w:tr w:rsidR="00121D83" w:rsidTr="008E256E">
        <w:trPr>
          <w:cantSplit/>
          <w:trHeight w:val="60"/>
        </w:trPr>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noProof/>
                <w:color w:val="0070C0"/>
              </w:rPr>
            </w:pPr>
            <w:r w:rsidRPr="001B5BF7">
              <w:t>Methylprednisolone</w:t>
            </w:r>
          </w:p>
        </w:tc>
        <w:tc>
          <w:tcPr>
            <w:tcW w:w="6623" w:type="dxa"/>
            <w:vMerge/>
            <w:tcBorders>
              <w:left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p>
        </w:tc>
      </w:tr>
      <w:tr w:rsidR="00121D83" w:rsidTr="008E256E">
        <w:trPr>
          <w:cantSplit/>
          <w:trHeight w:val="60"/>
        </w:trPr>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noProof/>
                <w:color w:val="0070C0"/>
              </w:rPr>
            </w:pPr>
            <w:r>
              <w:t>Triamcinolone</w:t>
            </w:r>
          </w:p>
        </w:tc>
        <w:tc>
          <w:tcPr>
            <w:tcW w:w="6623" w:type="dxa"/>
            <w:vMerge/>
            <w:tcBorders>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p>
        </w:tc>
      </w:tr>
    </w:tbl>
    <w:p w:rsidR="00121D83" w:rsidRDefault="00121D83" w:rsidP="00121D83">
      <w:pPr>
        <w:pStyle w:val="Graphhead"/>
        <w:spacing w:before="120" w:after="240"/>
        <w:rPr>
          <w:rFonts w:ascii="Arial" w:hAnsi="Arial" w:cs="Arial"/>
          <w:bCs w:val="0"/>
          <w:color w:val="008EC4"/>
          <w:sz w:val="22"/>
          <w:szCs w:val="22"/>
        </w:rPr>
      </w:pPr>
    </w:p>
    <w:p w:rsidR="00E26C65" w:rsidRDefault="00E26C65" w:rsidP="00121D83">
      <w:pPr>
        <w:pStyle w:val="Graphhead"/>
        <w:spacing w:before="120" w:after="240"/>
        <w:rPr>
          <w:rFonts w:ascii="Arial" w:hAnsi="Arial" w:cs="Arial"/>
          <w:bCs w:val="0"/>
          <w:color w:val="008EC4"/>
          <w:sz w:val="22"/>
          <w:szCs w:val="22"/>
        </w:rPr>
      </w:pPr>
    </w:p>
    <w:p w:rsidR="00E26C65" w:rsidRDefault="00E26C65" w:rsidP="00121D83">
      <w:pPr>
        <w:pStyle w:val="Graphhead"/>
        <w:spacing w:before="120" w:after="240"/>
        <w:rPr>
          <w:rFonts w:ascii="Arial" w:hAnsi="Arial" w:cs="Arial"/>
          <w:bCs w:val="0"/>
          <w:color w:val="008EC4"/>
          <w:sz w:val="22"/>
          <w:szCs w:val="22"/>
        </w:rPr>
      </w:pPr>
    </w:p>
    <w:p w:rsidR="00E26C65" w:rsidRDefault="00E26C65" w:rsidP="00121D83">
      <w:pPr>
        <w:pStyle w:val="Graphhead"/>
        <w:spacing w:before="120" w:after="240"/>
        <w:rPr>
          <w:rFonts w:ascii="Arial" w:hAnsi="Arial" w:cs="Arial"/>
          <w:bCs w:val="0"/>
          <w:color w:val="008EC4"/>
          <w:sz w:val="22"/>
          <w:szCs w:val="22"/>
        </w:rPr>
      </w:pPr>
    </w:p>
    <w:p w:rsidR="00E26C65" w:rsidRDefault="00FC334F" w:rsidP="00121D83">
      <w:pPr>
        <w:pStyle w:val="Graphhead"/>
        <w:spacing w:before="120" w:after="240"/>
        <w:rPr>
          <w:rFonts w:ascii="Arial" w:hAnsi="Arial" w:cs="Arial"/>
          <w:bCs w:val="0"/>
          <w:color w:val="008EC4"/>
          <w:sz w:val="22"/>
          <w:szCs w:val="22"/>
        </w:rPr>
      </w:pPr>
      <w:r>
        <w:rPr>
          <w:rFonts w:ascii="Arial" w:hAnsi="Arial" w:cs="Arial"/>
          <w:bCs w:val="0"/>
          <w:color w:val="008EC4"/>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299"/>
      </w:tblGrid>
      <w:tr w:rsidR="00121D83" w:rsidRPr="005C16BA"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lastRenderedPageBreak/>
              <w:t>Neurological drugs</w:t>
            </w:r>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proofErr w:type="spellStart"/>
            <w:r>
              <w:rPr>
                <w:rFonts w:ascii="Arial" w:hAnsi="Arial" w:cs="Arial"/>
                <w:bCs w:val="0"/>
                <w:color w:val="008EC4"/>
                <w:sz w:val="20"/>
                <w:szCs w:val="20"/>
              </w:rPr>
              <w:t>Antiepileptics</w:t>
            </w:r>
            <w:proofErr w:type="spellEnd"/>
          </w:p>
          <w:p w:rsidR="00121D83" w:rsidRDefault="00121D83" w:rsidP="00121D83">
            <w:pPr>
              <w:pStyle w:val="Graphhead"/>
              <w:numPr>
                <w:ilvl w:val="0"/>
                <w:numId w:val="8"/>
              </w:numPr>
              <w:spacing w:before="120" w:after="120"/>
              <w:rPr>
                <w:rFonts w:ascii="Arial" w:hAnsi="Arial" w:cs="Arial"/>
                <w:bCs w:val="0"/>
                <w:color w:val="008EC4"/>
                <w:sz w:val="20"/>
                <w:szCs w:val="20"/>
              </w:rPr>
            </w:pPr>
            <w:r>
              <w:rPr>
                <w:rFonts w:ascii="Arial" w:hAnsi="Arial" w:cs="Arial"/>
                <w:bCs w:val="0"/>
                <w:color w:val="008EC4"/>
                <w:sz w:val="20"/>
                <w:szCs w:val="20"/>
              </w:rPr>
              <w:t>Benzodiazepines (neurology)</w:t>
            </w:r>
          </w:p>
        </w:tc>
      </w:tr>
      <w:tr w:rsidR="00121D83" w:rsidTr="008E256E">
        <w:trPr>
          <w:cantSplit/>
          <w:trHeight w:val="6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21D83" w:rsidRPr="0031733C" w:rsidRDefault="00121D83" w:rsidP="008E256E">
            <w:pPr>
              <w:pStyle w:val="graphbody"/>
              <w:spacing w:before="120" w:after="120"/>
              <w:rPr>
                <w:rFonts w:ascii="Arial" w:hAnsi="Arial" w:cs="Arial"/>
                <w:color w:val="0070C0"/>
                <w:sz w:val="20"/>
                <w:szCs w:val="20"/>
              </w:rPr>
            </w:pPr>
            <w:r w:rsidRPr="00D84207">
              <w:rPr>
                <w:rFonts w:ascii="Arial" w:hAnsi="Arial" w:cs="Arial"/>
                <w:bCs/>
                <w:color w:val="0070C0"/>
                <w:sz w:val="20"/>
                <w:szCs w:val="20"/>
              </w:rPr>
              <w:t>Benzodiazepines (neurology)</w:t>
            </w:r>
          </w:p>
        </w:tc>
        <w:tc>
          <w:tcPr>
            <w:tcW w:w="6299" w:type="dxa"/>
            <w:tcBorders>
              <w:top w:val="single" w:sz="4" w:space="0" w:color="000000"/>
              <w:left w:val="single" w:sz="4" w:space="0" w:color="000000"/>
              <w:bottom w:val="single" w:sz="4" w:space="0" w:color="000000"/>
              <w:right w:val="single" w:sz="4" w:space="0" w:color="000000"/>
            </w:tcBorders>
          </w:tcPr>
          <w:p w:rsidR="00121D83" w:rsidRPr="0031733C"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bCs/>
                <w:color w:val="008EC4"/>
              </w:rPr>
            </w:pPr>
            <w:r>
              <w:t>Diazepam</w:t>
            </w:r>
          </w:p>
        </w:tc>
        <w:tc>
          <w:tcPr>
            <w:tcW w:w="6299"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t>Restricted to p</w:t>
            </w:r>
            <w:r w:rsidRPr="00443F45">
              <w:t>odiatric surgeon only</w:t>
            </w:r>
          </w:p>
          <w:p w:rsidR="00121D83" w:rsidRDefault="00121D83" w:rsidP="008E256E">
            <w:pPr>
              <w:pStyle w:val="AHPRAtabletext"/>
            </w:pPr>
            <w:r>
              <w:t>Route restricted to oral only</w:t>
            </w:r>
          </w:p>
          <w:p w:rsidR="00121D83" w:rsidRPr="005A7FC3" w:rsidRDefault="00121D83" w:rsidP="008E256E">
            <w:pPr>
              <w:pStyle w:val="AHPRAtabletext"/>
            </w:pPr>
            <w:r>
              <w:t>Can be used for up to 10 days for treatment of muscle spasm</w:t>
            </w:r>
          </w:p>
        </w:tc>
      </w:tr>
    </w:tbl>
    <w:p w:rsidR="00121D83" w:rsidRDefault="00121D83" w:rsidP="00121D83">
      <w:pPr>
        <w:pStyle w:val="Graphhead"/>
        <w:spacing w:before="120" w:after="240"/>
        <w:rPr>
          <w:rFonts w:ascii="Arial" w:hAnsi="Arial" w:cs="Arial"/>
          <w:bCs w:val="0"/>
          <w:color w:val="008EC4"/>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6597"/>
      </w:tblGrid>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Psychotropic drugs</w:t>
            </w:r>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Drugs for anxiety and sleep disorders</w:t>
            </w:r>
          </w:p>
          <w:p w:rsidR="00121D83" w:rsidRDefault="00121D83" w:rsidP="00121D83">
            <w:pPr>
              <w:pStyle w:val="Graphhead"/>
              <w:numPr>
                <w:ilvl w:val="0"/>
                <w:numId w:val="8"/>
              </w:numPr>
              <w:spacing w:before="120" w:after="120"/>
              <w:rPr>
                <w:rFonts w:ascii="Arial" w:hAnsi="Arial" w:cs="Arial"/>
                <w:bCs w:val="0"/>
                <w:color w:val="008EC4"/>
                <w:sz w:val="20"/>
                <w:szCs w:val="20"/>
              </w:rPr>
            </w:pPr>
            <w:r>
              <w:rPr>
                <w:rFonts w:ascii="Arial" w:hAnsi="Arial" w:cs="Arial"/>
                <w:bCs w:val="0"/>
                <w:color w:val="008EC4"/>
                <w:sz w:val="20"/>
                <w:szCs w:val="20"/>
              </w:rPr>
              <w:t>Benzodiazepines</w:t>
            </w:r>
          </w:p>
        </w:tc>
      </w:tr>
      <w:tr w:rsidR="00121D83" w:rsidTr="008E256E">
        <w:trPr>
          <w:cantSplit/>
          <w:trHeight w:val="60"/>
        </w:trPr>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graphbody"/>
              <w:spacing w:before="120" w:after="120"/>
              <w:rPr>
                <w:rFonts w:ascii="Arial" w:hAnsi="Arial" w:cs="Arial"/>
                <w:color w:val="auto"/>
                <w:sz w:val="20"/>
                <w:szCs w:val="20"/>
              </w:rPr>
            </w:pPr>
            <w:r>
              <w:rPr>
                <w:rFonts w:ascii="Arial" w:hAnsi="Arial" w:cs="Arial"/>
                <w:bCs/>
                <w:color w:val="008EC4"/>
                <w:sz w:val="20"/>
                <w:szCs w:val="20"/>
              </w:rPr>
              <w:t>Benzodiazepines</w:t>
            </w:r>
          </w:p>
        </w:tc>
        <w:tc>
          <w:tcPr>
            <w:tcW w:w="6597"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noProof/>
                <w:color w:val="008EC4"/>
              </w:rPr>
            </w:pPr>
            <w:r w:rsidRPr="00D84207">
              <w:t>Diazepam</w:t>
            </w:r>
          </w:p>
        </w:tc>
        <w:tc>
          <w:tcPr>
            <w:tcW w:w="6597"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noProof/>
              </w:rPr>
            </w:pPr>
            <w:r>
              <w:t>Restricted to p</w:t>
            </w:r>
            <w:r w:rsidRPr="00443F45">
              <w:t>odiatric surgeon only</w:t>
            </w:r>
          </w:p>
          <w:p w:rsidR="00121D83" w:rsidRDefault="00121D83" w:rsidP="008E256E">
            <w:pPr>
              <w:pStyle w:val="AHPRAtabletext"/>
              <w:rPr>
                <w:noProof/>
              </w:rPr>
            </w:pPr>
            <w:r>
              <w:t>Route restricted to oral only</w:t>
            </w:r>
          </w:p>
          <w:p w:rsidR="00121D83" w:rsidRDefault="00121D83" w:rsidP="008E256E">
            <w:pPr>
              <w:pStyle w:val="AHPRAtabletext"/>
              <w:rPr>
                <w:noProof/>
              </w:rPr>
            </w:pPr>
            <w:r w:rsidRPr="00F346AD">
              <w:t>One dose orally for pre-procedural anxiety</w:t>
            </w:r>
          </w:p>
        </w:tc>
      </w:tr>
      <w:tr w:rsidR="00121D83" w:rsidTr="008E256E">
        <w:trPr>
          <w:cantSplit/>
          <w:trHeight w:val="60"/>
        </w:trPr>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121D83" w:rsidRDefault="00121D83" w:rsidP="008E256E">
            <w:pPr>
              <w:pStyle w:val="AHPRAtabletext"/>
              <w:rPr>
                <w:noProof/>
                <w:color w:val="008EC4"/>
              </w:rPr>
            </w:pPr>
            <w:r w:rsidRPr="00D84207">
              <w:t>Lorazepam</w:t>
            </w:r>
          </w:p>
        </w:tc>
        <w:tc>
          <w:tcPr>
            <w:tcW w:w="6597"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noProof/>
              </w:rPr>
            </w:pPr>
            <w:r>
              <w:t>Route restricted to oral only</w:t>
            </w:r>
          </w:p>
          <w:p w:rsidR="00121D83" w:rsidRDefault="00121D83" w:rsidP="008E256E">
            <w:pPr>
              <w:pStyle w:val="AHPRAtabletext"/>
              <w:rPr>
                <w:noProof/>
                <w:color w:val="0070C0"/>
              </w:rPr>
            </w:pPr>
            <w:r w:rsidRPr="00F346AD">
              <w:t>One dose orally for pre-procedural anxiety</w:t>
            </w:r>
          </w:p>
        </w:tc>
      </w:tr>
    </w:tbl>
    <w:p w:rsidR="00121D83" w:rsidRDefault="00121D83" w:rsidP="00121D83">
      <w:pPr>
        <w:pStyle w:val="3sub"/>
        <w:spacing w:before="120" w:after="0"/>
        <w:rPr>
          <w:rFonts w:ascii="Arial" w:hAnsi="Arial" w:cs="Arial"/>
          <w:b w:val="0"/>
          <w:color w:val="auto"/>
          <w:sz w:val="20"/>
          <w:szCs w:val="20"/>
        </w:rPr>
      </w:pPr>
    </w:p>
    <w:p w:rsidR="00121D83" w:rsidRDefault="00121D83" w:rsidP="00121D83">
      <w:pPr>
        <w:spacing w:after="0"/>
        <w:rPr>
          <w:rFonts w:cs="Arial"/>
          <w:bCs/>
          <w:szCs w:val="20"/>
        </w:rPr>
      </w:pPr>
      <w:r>
        <w:rPr>
          <w:rFonts w:cs="Arial"/>
          <w:b/>
          <w:szCs w:val="20"/>
        </w:rPr>
        <w:br w:type="page"/>
      </w:r>
    </w:p>
    <w:p w:rsidR="00121D83" w:rsidRDefault="00121D83" w:rsidP="00121D83">
      <w:pPr>
        <w:pStyle w:val="3sub"/>
        <w:spacing w:before="120" w:after="0"/>
        <w:rPr>
          <w:rFonts w:ascii="Arial" w:hAnsi="Arial" w:cs="Arial"/>
          <w:b w:val="0"/>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946"/>
      </w:tblGrid>
      <w:tr w:rsidR="00121D83" w:rsidRPr="005C16BA"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proofErr w:type="spellStart"/>
            <w:r>
              <w:rPr>
                <w:rFonts w:ascii="Arial" w:hAnsi="Arial" w:cs="Arial"/>
                <w:bCs w:val="0"/>
                <w:color w:val="008EC4"/>
                <w:sz w:val="20"/>
                <w:szCs w:val="20"/>
              </w:rPr>
              <w:t>Rheumatological</w:t>
            </w:r>
            <w:proofErr w:type="spellEnd"/>
            <w:r>
              <w:rPr>
                <w:rFonts w:ascii="Arial" w:hAnsi="Arial" w:cs="Arial"/>
                <w:bCs w:val="0"/>
                <w:color w:val="008EC4"/>
                <w:sz w:val="20"/>
                <w:szCs w:val="20"/>
              </w:rPr>
              <w:t xml:space="preserve"> drugs</w:t>
            </w:r>
          </w:p>
        </w:tc>
      </w:tr>
      <w:tr w:rsidR="00121D83" w:rsidTr="008E256E">
        <w:trPr>
          <w:cantSplit/>
          <w:trHeight w:val="60"/>
          <w:tblHeader/>
        </w:trPr>
        <w:tc>
          <w:tcPr>
            <w:tcW w:w="9242" w:type="dxa"/>
            <w:gridSpan w:val="2"/>
            <w:tcBorders>
              <w:top w:val="single" w:sz="4" w:space="0" w:color="000000"/>
              <w:left w:val="single" w:sz="4" w:space="0" w:color="000000"/>
              <w:bottom w:val="nil"/>
              <w:right w:val="single" w:sz="4" w:space="0" w:color="000000"/>
            </w:tcBorders>
          </w:tcPr>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Drugs for gout</w:t>
            </w:r>
          </w:p>
          <w:p w:rsidR="00121D83" w:rsidRDefault="00121D83" w:rsidP="008E256E">
            <w:pPr>
              <w:pStyle w:val="Graphhead"/>
              <w:spacing w:before="120" w:after="120"/>
              <w:rPr>
                <w:rFonts w:ascii="Arial" w:hAnsi="Arial" w:cs="Arial"/>
                <w:bCs w:val="0"/>
                <w:color w:val="008EC4"/>
                <w:sz w:val="20"/>
                <w:szCs w:val="20"/>
              </w:rPr>
            </w:pPr>
            <w:r>
              <w:rPr>
                <w:rFonts w:ascii="Arial" w:hAnsi="Arial" w:cs="Arial"/>
                <w:bCs w:val="0"/>
                <w:color w:val="008EC4"/>
                <w:sz w:val="20"/>
                <w:szCs w:val="20"/>
              </w:rPr>
              <w:t>Drugs for other musculoskeletal conditions</w:t>
            </w:r>
          </w:p>
          <w:p w:rsidR="00121D83" w:rsidRDefault="00121D83" w:rsidP="00121D83">
            <w:pPr>
              <w:pStyle w:val="Graphhead"/>
              <w:numPr>
                <w:ilvl w:val="0"/>
                <w:numId w:val="8"/>
              </w:numPr>
              <w:spacing w:before="120" w:after="120"/>
              <w:rPr>
                <w:rFonts w:ascii="Arial" w:hAnsi="Arial" w:cs="Arial"/>
                <w:bCs w:val="0"/>
                <w:color w:val="008EC4"/>
                <w:sz w:val="20"/>
                <w:szCs w:val="20"/>
              </w:rPr>
            </w:pPr>
            <w:r>
              <w:rPr>
                <w:rFonts w:ascii="Arial" w:hAnsi="Arial" w:cs="Arial"/>
                <w:bCs w:val="0"/>
                <w:color w:val="008EC4"/>
                <w:sz w:val="20"/>
                <w:szCs w:val="20"/>
              </w:rPr>
              <w:t>NSAIDs</w:t>
            </w:r>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121D83" w:rsidRDefault="00121D83" w:rsidP="008E256E">
            <w:pPr>
              <w:pStyle w:val="BodyTextBullets"/>
              <w:spacing w:before="120" w:after="120"/>
            </w:pPr>
            <w:r w:rsidRPr="00A3440A">
              <w:t xml:space="preserve">In the case of initial diagnosis and treatment for gout, a medical practitioner </w:t>
            </w:r>
            <w:r w:rsidRPr="00A3440A">
              <w:rPr>
                <w:b/>
              </w:rPr>
              <w:t>must</w:t>
            </w:r>
            <w:r w:rsidRPr="00A3440A">
              <w:t xml:space="preserve"> be notified. The medical practitioner should be requested to undertake further confirmatory diagnostics (unless already arranged by the podiatrist or podiatric surgeon) and to undertake the long-term management of the condition.</w:t>
            </w:r>
          </w:p>
          <w:p w:rsidR="00121D83" w:rsidRDefault="00121D83" w:rsidP="008E256E">
            <w:pPr>
              <w:pStyle w:val="BodyTextBullets"/>
            </w:pPr>
            <w:r>
              <w:t xml:space="preserve">Risks associated with </w:t>
            </w:r>
            <w:r w:rsidRPr="00A3440A">
              <w:t xml:space="preserve">NSAIDs (prescription and </w:t>
            </w:r>
            <w:r>
              <w:t>Over the Counter (</w:t>
            </w:r>
            <w:r w:rsidRPr="00A3440A">
              <w:t>OTC</w:t>
            </w:r>
            <w:r>
              <w:t>)</w:t>
            </w:r>
            <w:r w:rsidRPr="00A3440A">
              <w:t xml:space="preserve">) </w:t>
            </w:r>
            <w:r>
              <w:t>include,</w:t>
            </w:r>
            <w:r w:rsidRPr="00A3440A">
              <w:t xml:space="preserve"> </w:t>
            </w:r>
            <w:r>
              <w:t xml:space="preserve">but are not limited to, gastrointestinal bleeding; precipitating acute renal failure; and </w:t>
            </w:r>
            <w:r w:rsidRPr="00A3440A">
              <w:t>significantly increased risks of cardiovascular events (e.g. stroke, heart attack) and therefore should be used with caution especially in patients</w:t>
            </w:r>
            <w:r>
              <w:t xml:space="preserve"> with predisposing</w:t>
            </w:r>
            <w:r w:rsidRPr="00A3440A">
              <w:t xml:space="preserve"> risk factors</w:t>
            </w:r>
            <w:r>
              <w:t xml:space="preserve">, including </w:t>
            </w:r>
            <w:r w:rsidRPr="00A3440A">
              <w:t>cardiovascular</w:t>
            </w:r>
            <w:r>
              <w:t xml:space="preserve"> risk factors.</w:t>
            </w: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Drugs for gout</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Restrictions/additional notes</w:t>
            </w: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auto"/>
                <w:sz w:val="20"/>
                <w:szCs w:val="20"/>
              </w:rPr>
            </w:pPr>
            <w:r w:rsidRPr="00D84207">
              <w:rPr>
                <w:rFonts w:ascii="Arial" w:hAnsi="Arial" w:cs="Arial"/>
                <w:color w:val="auto"/>
                <w:sz w:val="20"/>
                <w:szCs w:val="20"/>
              </w:rPr>
              <w:t>Colchicine</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auto"/>
                <w:sz w:val="20"/>
                <w:szCs w:val="20"/>
              </w:rPr>
            </w:pPr>
            <w:r>
              <w:rPr>
                <w:rFonts w:ascii="Arial" w:hAnsi="Arial" w:cs="Arial"/>
                <w:color w:val="auto"/>
                <w:sz w:val="20"/>
                <w:szCs w:val="20"/>
              </w:rPr>
              <w:t xml:space="preserve">Route restricted to oral only </w:t>
            </w:r>
          </w:p>
          <w:p w:rsidR="00121D83" w:rsidRDefault="00121D83" w:rsidP="008E256E">
            <w:pPr>
              <w:pStyle w:val="graphbody"/>
              <w:spacing w:before="120" w:after="120"/>
              <w:rPr>
                <w:rFonts w:ascii="Arial" w:hAnsi="Arial" w:cs="Arial"/>
                <w:color w:val="auto"/>
                <w:sz w:val="20"/>
                <w:szCs w:val="20"/>
              </w:rPr>
            </w:pPr>
            <w:r>
              <w:rPr>
                <w:rFonts w:ascii="Arial" w:hAnsi="Arial" w:cs="Arial"/>
                <w:color w:val="auto"/>
                <w:sz w:val="20"/>
                <w:szCs w:val="20"/>
              </w:rPr>
              <w:t xml:space="preserve">As a therapeutic dose over a 24 hour period as per the </w:t>
            </w:r>
            <w:r w:rsidRPr="00983E97">
              <w:rPr>
                <w:rFonts w:ascii="Arial" w:hAnsi="Arial" w:cs="Arial"/>
                <w:i/>
                <w:color w:val="auto"/>
                <w:sz w:val="20"/>
                <w:szCs w:val="20"/>
              </w:rPr>
              <w:t>Australian Medicines Handbook</w:t>
            </w:r>
            <w:r>
              <w:rPr>
                <w:rFonts w:ascii="Arial" w:hAnsi="Arial" w:cs="Arial"/>
                <w:color w:val="auto"/>
                <w:sz w:val="20"/>
                <w:szCs w:val="20"/>
              </w:rPr>
              <w:t xml:space="preserve"> dosage guidelines</w:t>
            </w:r>
          </w:p>
        </w:tc>
      </w:tr>
      <w:tr w:rsidR="00121D83" w:rsidTr="008E256E">
        <w:trPr>
          <w:cantSplit/>
          <w:trHeight w:val="60"/>
        </w:trPr>
        <w:tc>
          <w:tcPr>
            <w:tcW w:w="9242" w:type="dxa"/>
            <w:gridSpan w:val="2"/>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Drugs for other musculoskeletal conditions</w:t>
            </w: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NSAIDs</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graphbody"/>
              <w:spacing w:before="120" w:after="120"/>
              <w:rPr>
                <w:rFonts w:ascii="Arial" w:hAnsi="Arial" w:cs="Arial"/>
                <w:color w:val="0070C0"/>
                <w:sz w:val="20"/>
                <w:szCs w:val="20"/>
              </w:rPr>
            </w:pPr>
            <w:r>
              <w:rPr>
                <w:rFonts w:ascii="Arial" w:hAnsi="Arial" w:cs="Arial"/>
                <w:color w:val="0070C0"/>
                <w:sz w:val="20"/>
                <w:szCs w:val="20"/>
              </w:rPr>
              <w:t>Restrictions/ additional notes</w:t>
            </w: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sidRPr="001B5BF7">
              <w:t>Celecoxib</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sidRPr="001B5BF7">
              <w:t>Diclofenac</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sidRPr="001B5BF7">
              <w:t>Ibuprofen</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roofErr w:type="spellStart"/>
            <w:r>
              <w:t>Indomet</w:t>
            </w:r>
            <w:r w:rsidRPr="001B5BF7">
              <w:t>acin</w:t>
            </w:r>
            <w:proofErr w:type="spellEnd"/>
            <w:r>
              <w:t xml:space="preserve"> *</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sidRPr="001B5BF7">
              <w:t>Ketorolac</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pPr>
            <w:r w:rsidRPr="00721AD4">
              <w:t xml:space="preserve">Restricted to podiatric surgeon only </w:t>
            </w:r>
          </w:p>
          <w:p w:rsidR="00121D83" w:rsidRDefault="00121D83" w:rsidP="008E256E">
            <w:pPr>
              <w:pStyle w:val="AHPRAtabletext"/>
            </w:pPr>
            <w:r w:rsidRPr="00721AD4">
              <w:t xml:space="preserve">For </w:t>
            </w:r>
            <w:proofErr w:type="spellStart"/>
            <w:r w:rsidRPr="00721AD4">
              <w:t>peri</w:t>
            </w:r>
            <w:proofErr w:type="spellEnd"/>
            <w:r w:rsidRPr="00721AD4">
              <w:t>-operative treatment only</w:t>
            </w: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sidRPr="001B5BF7">
              <w:t>Meloxicam</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r w:rsidRPr="001B5BF7">
              <w:t>Naproxen</w:t>
            </w:r>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r w:rsidR="00121D83" w:rsidTr="008E256E">
        <w:trPr>
          <w:cantSplit/>
          <w:trHeight w:val="60"/>
        </w:trPr>
        <w:tc>
          <w:tcPr>
            <w:tcW w:w="229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color w:val="0070C0"/>
              </w:rPr>
            </w:pPr>
            <w:proofErr w:type="spellStart"/>
            <w:r w:rsidRPr="001B5BF7">
              <w:t>Sulindac</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121D83" w:rsidRDefault="00121D83" w:rsidP="008E256E">
            <w:pPr>
              <w:pStyle w:val="AHPRAtabletext"/>
              <w:rPr>
                <w:rFonts w:cs="Arial"/>
                <w:color w:val="0070C0"/>
              </w:rPr>
            </w:pPr>
          </w:p>
        </w:tc>
      </w:tr>
    </w:tbl>
    <w:p w:rsidR="00121D83" w:rsidRPr="00793BFE" w:rsidRDefault="00121D83" w:rsidP="00121D83">
      <w:pPr>
        <w:pStyle w:val="3sub"/>
        <w:spacing w:before="200"/>
        <w:rPr>
          <w:rFonts w:ascii="Arial" w:hAnsi="Arial" w:cs="Arial"/>
          <w:b w:val="0"/>
          <w:i/>
          <w:color w:val="auto"/>
          <w:sz w:val="20"/>
          <w:szCs w:val="20"/>
        </w:rPr>
      </w:pPr>
    </w:p>
    <w:p w:rsidR="00105132" w:rsidRDefault="00105132" w:rsidP="00105132"/>
    <w:p w:rsidR="00EA7BF6" w:rsidRDefault="00EA7BF6"/>
    <w:sectPr w:rsidR="00EA7BF6" w:rsidSect="004B4091">
      <w:headerReference w:type="default" r:id="rId23"/>
      <w:footerReference w:type="default" r:id="rId24"/>
      <w:head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44" w:rsidRDefault="00297B44" w:rsidP="00105132">
      <w:pPr>
        <w:spacing w:after="0"/>
      </w:pPr>
      <w:r>
        <w:separator/>
      </w:r>
    </w:p>
  </w:endnote>
  <w:endnote w:type="continuationSeparator" w:id="0">
    <w:p w:rsidR="00297B44" w:rsidRDefault="00297B44" w:rsidP="001051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203" w:usb1="00000000" w:usb2="00000000" w:usb3="00000000" w:csb0="00000005" w:csb1="00000000"/>
  </w:font>
  <w:font w:name="HelveticaNeue-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1219"/>
      <w:docPartObj>
        <w:docPartGallery w:val="Page Numbers (Bottom of Page)"/>
        <w:docPartUnique/>
      </w:docPartObj>
    </w:sdtPr>
    <w:sdtEndPr/>
    <w:sdtContent>
      <w:p w:rsidR="00297B44" w:rsidRDefault="00DD5BFF">
        <w:pPr>
          <w:pStyle w:val="Footer"/>
          <w:jc w:val="right"/>
        </w:pPr>
        <w:r>
          <w:fldChar w:fldCharType="begin"/>
        </w:r>
        <w:r>
          <w:instrText xml:space="preserve"> PAGE   \* MERGEFORMAT </w:instrText>
        </w:r>
        <w:r>
          <w:fldChar w:fldCharType="separate"/>
        </w:r>
        <w:r w:rsidR="0037794D">
          <w:rPr>
            <w:noProof/>
          </w:rPr>
          <w:t>4</w:t>
        </w:r>
        <w:r>
          <w:rPr>
            <w:noProof/>
          </w:rPr>
          <w:fldChar w:fldCharType="end"/>
        </w:r>
      </w:p>
    </w:sdtContent>
  </w:sdt>
  <w:p w:rsidR="00297B44" w:rsidRDefault="0029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44" w:rsidRDefault="00297B44" w:rsidP="00105132">
      <w:pPr>
        <w:spacing w:after="0"/>
      </w:pPr>
      <w:r>
        <w:separator/>
      </w:r>
    </w:p>
  </w:footnote>
  <w:footnote w:type="continuationSeparator" w:id="0">
    <w:p w:rsidR="00297B44" w:rsidRDefault="00297B44" w:rsidP="00105132">
      <w:pPr>
        <w:spacing w:after="0"/>
      </w:pPr>
      <w:r>
        <w:continuationSeparator/>
      </w:r>
    </w:p>
  </w:footnote>
  <w:footnote w:id="1">
    <w:p w:rsidR="00297B44" w:rsidRDefault="00297B44" w:rsidP="00105132">
      <w:pPr>
        <w:pStyle w:val="FootnoteText"/>
        <w:tabs>
          <w:tab w:val="left" w:pos="8647"/>
        </w:tabs>
        <w:spacing w:after="0"/>
      </w:pPr>
      <w:r>
        <w:rPr>
          <w:rStyle w:val="FootnoteReference"/>
        </w:rPr>
        <w:footnoteRef/>
      </w:r>
      <w:r>
        <w:t xml:space="preserve"> </w:t>
      </w:r>
      <w:r>
        <w:rPr>
          <w:rFonts w:cs="Arial"/>
          <w:szCs w:val="18"/>
        </w:rPr>
        <w:t>Bolded</w:t>
      </w:r>
      <w:r w:rsidRPr="006F2674">
        <w:rPr>
          <w:rFonts w:cs="Arial"/>
          <w:szCs w:val="18"/>
        </w:rPr>
        <w:t xml:space="preserve"> terms </w:t>
      </w:r>
      <w:r>
        <w:rPr>
          <w:rFonts w:cs="Arial"/>
          <w:szCs w:val="18"/>
        </w:rPr>
        <w:t xml:space="preserve">(apart from those in headings) </w:t>
      </w:r>
      <w:r w:rsidRPr="006F2674">
        <w:rPr>
          <w:rFonts w:cs="Arial"/>
          <w:szCs w:val="18"/>
        </w:rPr>
        <w:t xml:space="preserve">are defined in the </w:t>
      </w:r>
      <w:r w:rsidRPr="006F2674">
        <w:rPr>
          <w:rFonts w:cs="Arial"/>
          <w:i/>
          <w:szCs w:val="18"/>
        </w:rPr>
        <w:t>Definitions</w:t>
      </w:r>
      <w:r w:rsidRPr="006F2674">
        <w:rPr>
          <w:rFonts w:cs="Arial"/>
          <w:szCs w:val="18"/>
        </w:rPr>
        <w:t xml:space="preserve"> section of this registration standard</w:t>
      </w:r>
    </w:p>
  </w:footnote>
  <w:footnote w:id="2">
    <w:p w:rsidR="00297B44" w:rsidRDefault="00297B44" w:rsidP="00105132">
      <w:pPr>
        <w:pStyle w:val="FootnoteText"/>
      </w:pPr>
      <w:r>
        <w:rPr>
          <w:rStyle w:val="FootnoteReference"/>
        </w:rPr>
        <w:footnoteRef/>
      </w:r>
      <w:r>
        <w:t xml:space="preserve"> </w:t>
      </w:r>
      <w:r w:rsidRPr="00ED5D61">
        <w:rPr>
          <w:rFonts w:cs="Arial"/>
          <w:szCs w:val="18"/>
        </w:rPr>
        <w:t xml:space="preserve">The </w:t>
      </w:r>
      <w:r w:rsidRPr="00ED5D61">
        <w:rPr>
          <w:rFonts w:cs="Arial"/>
          <w:i/>
          <w:szCs w:val="18"/>
        </w:rPr>
        <w:t>National podiatry scheduled medicines list</w:t>
      </w:r>
      <w:r w:rsidRPr="00ED5D61">
        <w:rPr>
          <w:rFonts w:cs="Arial"/>
          <w:szCs w:val="18"/>
        </w:rPr>
        <w:t xml:space="preserve"> is attached to this registration standard </w:t>
      </w:r>
      <w:r>
        <w:rPr>
          <w:rFonts w:cs="Arial"/>
          <w:szCs w:val="18"/>
        </w:rPr>
        <w:t>‒</w:t>
      </w:r>
      <w:r w:rsidRPr="00ED5D61">
        <w:rPr>
          <w:rFonts w:cs="Arial"/>
          <w:szCs w:val="18"/>
        </w:rPr>
        <w:t xml:space="preserve"> see Attachment A.</w:t>
      </w:r>
    </w:p>
  </w:footnote>
  <w:footnote w:id="3">
    <w:p w:rsidR="00297B44" w:rsidRDefault="00297B44" w:rsidP="005402BD">
      <w:pPr>
        <w:pStyle w:val="FootnoteText"/>
      </w:pPr>
      <w:r>
        <w:rPr>
          <w:rStyle w:val="FootnoteReference"/>
        </w:rPr>
        <w:footnoteRef/>
      </w:r>
      <w:r>
        <w:t xml:space="preserve"> </w:t>
      </w:r>
      <w:r w:rsidRPr="00F56E59">
        <w:rPr>
          <w:szCs w:val="18"/>
        </w:rPr>
        <w:t xml:space="preserve">Adapted from the definition of ‘prescribing’ in the </w:t>
      </w:r>
      <w:r w:rsidRPr="00F56E59">
        <w:rPr>
          <w:i/>
          <w:szCs w:val="18"/>
        </w:rPr>
        <w:t xml:space="preserve">Health Professionals Prescribing Pathway, </w:t>
      </w:r>
      <w:r w:rsidRPr="00F56E59">
        <w:rPr>
          <w:szCs w:val="18"/>
        </w:rPr>
        <w:t>which includes the following statement about the definition</w:t>
      </w:r>
      <w:r w:rsidRPr="00F56E59">
        <w:rPr>
          <w:i/>
          <w:szCs w:val="18"/>
        </w:rPr>
        <w:t xml:space="preserve"> -</w:t>
      </w:r>
      <w:r>
        <w:rPr>
          <w:i/>
          <w:szCs w:val="18"/>
        </w:rPr>
        <w:t>-</w:t>
      </w:r>
      <w:r>
        <w:rPr>
          <w:rFonts w:cs="Arial"/>
          <w:i/>
          <w:szCs w:val="18"/>
        </w:rPr>
        <w:t>‒</w:t>
      </w:r>
      <w:r w:rsidRPr="00F56E59">
        <w:rPr>
          <w:i/>
          <w:szCs w:val="18"/>
        </w:rPr>
        <w:t xml:space="preserve"> The definition of prescribing used in the HPPP may be different to the definition of prescribing provided in the legislation governing the use of medicines in each jurisdiction. Health professionals are advised to review the legislation in effect in the </w:t>
      </w:r>
      <w:r>
        <w:rPr>
          <w:i/>
          <w:szCs w:val="18"/>
        </w:rPr>
        <w:t>s</w:t>
      </w:r>
      <w:r w:rsidRPr="00F56E59">
        <w:rPr>
          <w:i/>
          <w:szCs w:val="18"/>
        </w:rPr>
        <w:t xml:space="preserve">tate or </w:t>
      </w:r>
      <w:r>
        <w:rPr>
          <w:i/>
          <w:szCs w:val="18"/>
        </w:rPr>
        <w:t>t</w:t>
      </w:r>
      <w:r w:rsidRPr="00F56E59">
        <w:rPr>
          <w:i/>
          <w:szCs w:val="18"/>
        </w:rPr>
        <w:t xml:space="preserve">erritory in which they </w:t>
      </w:r>
      <w:proofErr w:type="spellStart"/>
      <w:r w:rsidRPr="00F56E59">
        <w:rPr>
          <w:i/>
          <w:szCs w:val="18"/>
        </w:rPr>
        <w:t>practi</w:t>
      </w:r>
      <w:r>
        <w:rPr>
          <w:i/>
          <w:szCs w:val="18"/>
        </w:rPr>
        <w:t>s</w:t>
      </w:r>
      <w:r w:rsidRPr="00F56E59">
        <w:rPr>
          <w:i/>
          <w:szCs w:val="18"/>
        </w:rPr>
        <w:t>e</w:t>
      </w:r>
      <w:proofErr w:type="spellEnd"/>
      <w:r w:rsidRPr="00F56E59">
        <w:rPr>
          <w:i/>
          <w:szCs w:val="18"/>
        </w:rPr>
        <w:t xml:space="preserve"> to ensure they understand their legal </w:t>
      </w:r>
      <w:proofErr w:type="spellStart"/>
      <w:r w:rsidRPr="00F56E59">
        <w:rPr>
          <w:i/>
          <w:szCs w:val="18"/>
        </w:rPr>
        <w:t>authorisation</w:t>
      </w:r>
      <w:proofErr w:type="spellEnd"/>
      <w:r w:rsidRPr="00F56E59">
        <w:rPr>
          <w:i/>
          <w:szCs w:val="18"/>
        </w:rPr>
        <w:t xml:space="preserve"> to prescribe medicines.</w:t>
      </w:r>
    </w:p>
  </w:footnote>
  <w:footnote w:id="4">
    <w:p w:rsidR="00297B44" w:rsidRPr="00E146B1" w:rsidRDefault="00297B44" w:rsidP="005402BD">
      <w:pPr>
        <w:pStyle w:val="FootnoteText"/>
        <w:rPr>
          <w:rFonts w:cs="Arial"/>
          <w:szCs w:val="18"/>
        </w:rPr>
      </w:pPr>
      <w:r>
        <w:rPr>
          <w:rStyle w:val="FootnoteReference"/>
        </w:rPr>
        <w:footnoteRef/>
      </w:r>
      <w:r>
        <w:t xml:space="preserve"> </w:t>
      </w:r>
      <w:r w:rsidRPr="00C4274A">
        <w:rPr>
          <w:rFonts w:cs="Arial"/>
          <w:i/>
          <w:szCs w:val="18"/>
        </w:rPr>
        <w:t>NPS: Better choices, Better health. Competencies required to prescribe medicines: putting quality use of medicines into practice</w:t>
      </w:r>
      <w:r w:rsidRPr="002A3CB2">
        <w:rPr>
          <w:rFonts w:cs="Arial"/>
          <w:szCs w:val="18"/>
        </w:rPr>
        <w:t>. Sydney: National Prescribing Service Limited, 2012.</w:t>
      </w:r>
      <w:r>
        <w:rPr>
          <w:rFonts w:cs="Arial"/>
          <w:szCs w:val="18"/>
        </w:rPr>
        <w:t xml:space="preserve"> Available at </w:t>
      </w:r>
      <w:hyperlink r:id="rId1" w:history="1">
        <w:r w:rsidRPr="00ED5D61">
          <w:rPr>
            <w:rStyle w:val="Hyperlink"/>
            <w:rFonts w:cs="Arial"/>
            <w:szCs w:val="18"/>
          </w:rPr>
          <w:t>http://www.nps.org.au/health-professionals/cpd/prescribing-competencies-framework</w:t>
        </w:r>
      </w:hyperlink>
    </w:p>
  </w:footnote>
  <w:footnote w:id="5">
    <w:p w:rsidR="00297B44" w:rsidRDefault="00297B44" w:rsidP="00121D83">
      <w:pPr>
        <w:pStyle w:val="FootnoteText"/>
      </w:pPr>
      <w:r>
        <w:rPr>
          <w:rStyle w:val="FootnoteReference"/>
        </w:rPr>
        <w:footnoteRef/>
      </w:r>
      <w:r>
        <w:t xml:space="preserve"> </w:t>
      </w:r>
      <w:r w:rsidRPr="00E33A4F">
        <w:rPr>
          <w:rFonts w:cs="Arial"/>
          <w:szCs w:val="18"/>
        </w:rPr>
        <w:t>There may be a cost for accessing some of these resources</w:t>
      </w:r>
    </w:p>
  </w:footnote>
  <w:footnote w:id="6">
    <w:p w:rsidR="00297B44" w:rsidRPr="00E37A76" w:rsidRDefault="00297B44" w:rsidP="00121D83">
      <w:pPr>
        <w:pStyle w:val="FootnoteText"/>
        <w:rPr>
          <w:szCs w:val="18"/>
        </w:rPr>
      </w:pPr>
      <w:r>
        <w:rPr>
          <w:rStyle w:val="FootnoteReference"/>
        </w:rPr>
        <w:footnoteRef/>
      </w:r>
      <w:r>
        <w:t xml:space="preserve"> T</w:t>
      </w:r>
      <w:r w:rsidRPr="003E0779">
        <w:t>he TGA website includes useful information for health professionals, including reporting adverse events; Product Information (PI); and Consumer Medicine Information (CMI) that can be printed off and provided to the patient when the medicine is prescribed</w:t>
      </w:r>
      <w:r>
        <w:t xml:space="preserve"> </w:t>
      </w:r>
      <w:hyperlink r:id="rId2" w:anchor="susmp" w:history="1">
        <w:r w:rsidRPr="00E37A76">
          <w:rPr>
            <w:rStyle w:val="Hyperlink"/>
            <w:szCs w:val="18"/>
          </w:rPr>
          <w:t>https://www.tga.gov.au/publication/poisons-standard-susmp#susmp</w:t>
        </w:r>
      </w:hyperlink>
    </w:p>
  </w:footnote>
  <w:footnote w:id="7">
    <w:p w:rsidR="00297B44" w:rsidRPr="00E37A76" w:rsidRDefault="00297B44" w:rsidP="00121D83">
      <w:pPr>
        <w:pStyle w:val="FootnoteText"/>
        <w:rPr>
          <w:szCs w:val="18"/>
        </w:rPr>
      </w:pPr>
      <w:r>
        <w:rPr>
          <w:rStyle w:val="FootnoteReference"/>
        </w:rPr>
        <w:footnoteRef/>
      </w:r>
      <w:r>
        <w:t xml:space="preserve"> See </w:t>
      </w:r>
      <w:hyperlink r:id="rId3" w:anchor="susmp" w:history="1">
        <w:r w:rsidRPr="00E37A76">
          <w:rPr>
            <w:rStyle w:val="Hyperlink"/>
            <w:szCs w:val="18"/>
          </w:rPr>
          <w:t>https://www.tga.gov.au/publication/poisons-standard-susmp#susmp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44" w:rsidRDefault="00297B44" w:rsidP="0010513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44" w:rsidRDefault="00297B44" w:rsidP="004B4091">
    <w:pPr>
      <w:pStyle w:val="Header"/>
      <w:jc w:val="right"/>
    </w:pPr>
    <w:r w:rsidRPr="004B4091">
      <w:rPr>
        <w:noProof/>
        <w:lang w:val="en-AU" w:eastAsia="en-AU"/>
      </w:rPr>
      <w:drawing>
        <wp:inline distT="0" distB="0" distL="0" distR="0">
          <wp:extent cx="1604514" cy="1685482"/>
          <wp:effectExtent l="0" t="0" r="0" b="0"/>
          <wp:docPr id="4" name="Picture 1" descr="Podiat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srcRect/>
                  <a:stretch>
                    <a:fillRect/>
                  </a:stretch>
                </pic:blipFill>
                <pic:spPr bwMode="auto">
                  <a:xfrm>
                    <a:off x="0" y="0"/>
                    <a:ext cx="1606619" cy="16876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51A0"/>
    <w:multiLevelType w:val="hybridMultilevel"/>
    <w:tmpl w:val="82383DD8"/>
    <w:lvl w:ilvl="0" w:tplc="DEFC0566">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6607A3"/>
    <w:multiLevelType w:val="hybridMultilevel"/>
    <w:tmpl w:val="82383DD8"/>
    <w:lvl w:ilvl="0" w:tplc="DEFC056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773CB1"/>
    <w:multiLevelType w:val="hybridMultilevel"/>
    <w:tmpl w:val="15AEFAE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0221CA3"/>
    <w:multiLevelType w:val="hybridMultilevel"/>
    <w:tmpl w:val="AAA4C91A"/>
    <w:lvl w:ilvl="0" w:tplc="8D848E3A">
      <w:start w:val="1"/>
      <w:numFmt w:val="lowerLetter"/>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8192FC6"/>
    <w:multiLevelType w:val="hybridMultilevel"/>
    <w:tmpl w:val="965CD2EC"/>
    <w:lvl w:ilvl="0" w:tplc="433A92B8">
      <w:start w:val="1"/>
      <w:numFmt w:val="bullet"/>
      <w:pStyle w:val="AHPR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37611"/>
    <w:multiLevelType w:val="hybridMultilevel"/>
    <w:tmpl w:val="82383DD8"/>
    <w:lvl w:ilvl="0" w:tplc="DEFC0566">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2E69BF"/>
    <w:multiLevelType w:val="hybridMultilevel"/>
    <w:tmpl w:val="82383DD8"/>
    <w:lvl w:ilvl="0" w:tplc="DEFC056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3B55B81"/>
    <w:multiLevelType w:val="hybridMultilevel"/>
    <w:tmpl w:val="82383DD8"/>
    <w:lvl w:ilvl="0" w:tplc="DEFC0566">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2"/>
  </w:num>
  <w:num w:numId="5">
    <w:abstractNumId w:val="4"/>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4"/>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105132"/>
    <w:rsid w:val="00010432"/>
    <w:rsid w:val="00012E47"/>
    <w:rsid w:val="0002672E"/>
    <w:rsid w:val="000512FD"/>
    <w:rsid w:val="000A7654"/>
    <w:rsid w:val="000B7780"/>
    <w:rsid w:val="000B7D6F"/>
    <w:rsid w:val="000F2030"/>
    <w:rsid w:val="00105132"/>
    <w:rsid w:val="001203B9"/>
    <w:rsid w:val="00121D83"/>
    <w:rsid w:val="001426DB"/>
    <w:rsid w:val="00143E6B"/>
    <w:rsid w:val="0015577B"/>
    <w:rsid w:val="001575C9"/>
    <w:rsid w:val="001661C0"/>
    <w:rsid w:val="00166937"/>
    <w:rsid w:val="001676DE"/>
    <w:rsid w:val="00172139"/>
    <w:rsid w:val="00172178"/>
    <w:rsid w:val="001D017E"/>
    <w:rsid w:val="00200D24"/>
    <w:rsid w:val="00221F98"/>
    <w:rsid w:val="00242DCD"/>
    <w:rsid w:val="00254CD3"/>
    <w:rsid w:val="002739E5"/>
    <w:rsid w:val="00297A7F"/>
    <w:rsid w:val="00297B44"/>
    <w:rsid w:val="002F37F9"/>
    <w:rsid w:val="00313B2C"/>
    <w:rsid w:val="0033452D"/>
    <w:rsid w:val="00367F0B"/>
    <w:rsid w:val="00375065"/>
    <w:rsid w:val="0037794D"/>
    <w:rsid w:val="003A29F3"/>
    <w:rsid w:val="003B58A7"/>
    <w:rsid w:val="003D3591"/>
    <w:rsid w:val="003D568F"/>
    <w:rsid w:val="004013AF"/>
    <w:rsid w:val="004068DF"/>
    <w:rsid w:val="004333EE"/>
    <w:rsid w:val="00433BCE"/>
    <w:rsid w:val="004528A0"/>
    <w:rsid w:val="0045526E"/>
    <w:rsid w:val="00467945"/>
    <w:rsid w:val="004851DF"/>
    <w:rsid w:val="004B4091"/>
    <w:rsid w:val="005402BD"/>
    <w:rsid w:val="00592432"/>
    <w:rsid w:val="005A02C5"/>
    <w:rsid w:val="005A2FB0"/>
    <w:rsid w:val="005B001D"/>
    <w:rsid w:val="005C4994"/>
    <w:rsid w:val="005F4E61"/>
    <w:rsid w:val="006527A0"/>
    <w:rsid w:val="006529F6"/>
    <w:rsid w:val="00653692"/>
    <w:rsid w:val="006800B1"/>
    <w:rsid w:val="0069662C"/>
    <w:rsid w:val="006E3ED7"/>
    <w:rsid w:val="007338F1"/>
    <w:rsid w:val="00742A63"/>
    <w:rsid w:val="00753AF2"/>
    <w:rsid w:val="00754BA6"/>
    <w:rsid w:val="00756686"/>
    <w:rsid w:val="0077591A"/>
    <w:rsid w:val="00780B88"/>
    <w:rsid w:val="0079759C"/>
    <w:rsid w:val="007E0337"/>
    <w:rsid w:val="00801F98"/>
    <w:rsid w:val="008203D6"/>
    <w:rsid w:val="00822612"/>
    <w:rsid w:val="00834431"/>
    <w:rsid w:val="00840793"/>
    <w:rsid w:val="008452F7"/>
    <w:rsid w:val="00851B51"/>
    <w:rsid w:val="008634AC"/>
    <w:rsid w:val="008818F9"/>
    <w:rsid w:val="00892893"/>
    <w:rsid w:val="00893BBB"/>
    <w:rsid w:val="008A1ABF"/>
    <w:rsid w:val="008A2918"/>
    <w:rsid w:val="008B384E"/>
    <w:rsid w:val="008B572A"/>
    <w:rsid w:val="008E256E"/>
    <w:rsid w:val="00915166"/>
    <w:rsid w:val="00921AB0"/>
    <w:rsid w:val="00933AAE"/>
    <w:rsid w:val="00953C03"/>
    <w:rsid w:val="00957454"/>
    <w:rsid w:val="00960FF1"/>
    <w:rsid w:val="00966A66"/>
    <w:rsid w:val="00987BEC"/>
    <w:rsid w:val="0099180F"/>
    <w:rsid w:val="009B171F"/>
    <w:rsid w:val="009D1F08"/>
    <w:rsid w:val="009F5473"/>
    <w:rsid w:val="00A21987"/>
    <w:rsid w:val="00A268DA"/>
    <w:rsid w:val="00A3054E"/>
    <w:rsid w:val="00A41BDE"/>
    <w:rsid w:val="00A4672D"/>
    <w:rsid w:val="00AA050D"/>
    <w:rsid w:val="00AB3964"/>
    <w:rsid w:val="00B16078"/>
    <w:rsid w:val="00B30DAF"/>
    <w:rsid w:val="00B40E32"/>
    <w:rsid w:val="00B63A92"/>
    <w:rsid w:val="00B81853"/>
    <w:rsid w:val="00B937DA"/>
    <w:rsid w:val="00BA352A"/>
    <w:rsid w:val="00BB36E0"/>
    <w:rsid w:val="00BE203B"/>
    <w:rsid w:val="00C146F6"/>
    <w:rsid w:val="00C35FD8"/>
    <w:rsid w:val="00C47812"/>
    <w:rsid w:val="00C5247E"/>
    <w:rsid w:val="00C565CC"/>
    <w:rsid w:val="00C578CE"/>
    <w:rsid w:val="00C769BA"/>
    <w:rsid w:val="00C83328"/>
    <w:rsid w:val="00C90304"/>
    <w:rsid w:val="00CA1B28"/>
    <w:rsid w:val="00CA7C2D"/>
    <w:rsid w:val="00CB41F7"/>
    <w:rsid w:val="00CC3B0B"/>
    <w:rsid w:val="00CD1F34"/>
    <w:rsid w:val="00D03BCC"/>
    <w:rsid w:val="00D0796C"/>
    <w:rsid w:val="00D313EC"/>
    <w:rsid w:val="00D425BB"/>
    <w:rsid w:val="00D526CF"/>
    <w:rsid w:val="00D72476"/>
    <w:rsid w:val="00D76399"/>
    <w:rsid w:val="00D77C37"/>
    <w:rsid w:val="00D95C34"/>
    <w:rsid w:val="00DC47F7"/>
    <w:rsid w:val="00DD31D4"/>
    <w:rsid w:val="00DD5BFF"/>
    <w:rsid w:val="00E26C65"/>
    <w:rsid w:val="00E367B0"/>
    <w:rsid w:val="00E45EF5"/>
    <w:rsid w:val="00E4678D"/>
    <w:rsid w:val="00E51279"/>
    <w:rsid w:val="00E55965"/>
    <w:rsid w:val="00E56838"/>
    <w:rsid w:val="00E661EE"/>
    <w:rsid w:val="00E700CA"/>
    <w:rsid w:val="00E87E82"/>
    <w:rsid w:val="00EA7BF6"/>
    <w:rsid w:val="00EC2E54"/>
    <w:rsid w:val="00EC5D10"/>
    <w:rsid w:val="00EF77C5"/>
    <w:rsid w:val="00F26292"/>
    <w:rsid w:val="00F27477"/>
    <w:rsid w:val="00F77D27"/>
    <w:rsid w:val="00F84E72"/>
    <w:rsid w:val="00F933DF"/>
    <w:rsid w:val="00FB1268"/>
    <w:rsid w:val="00FC334F"/>
    <w:rsid w:val="00FE77B8"/>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2" type="connector" idref="#AutoShape 3"/>
      </o:rules>
    </o:shapelayout>
  </w:shapeDefaults>
  <w:decimalSymbol w:val="."/>
  <w:listSeparator w:val=","/>
  <w15:docId w15:val="{926FA824-15C7-4B3A-A059-150D940E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132"/>
    <w:pPr>
      <w:spacing w:line="240" w:lineRule="auto"/>
    </w:pPr>
    <w:rPr>
      <w:rFonts w:ascii="Arial" w:eastAsia="Cambria"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105132"/>
    <w:pPr>
      <w:spacing w:before="200"/>
      <w:outlineLvl w:val="0"/>
    </w:pPr>
    <w:rPr>
      <w:rFonts w:cs="Arial"/>
      <w:color w:val="00BCCE"/>
      <w:sz w:val="32"/>
      <w:szCs w:val="52"/>
    </w:rPr>
  </w:style>
  <w:style w:type="paragraph" w:customStyle="1" w:styleId="AHPRASubheading">
    <w:name w:val="AHPRA Subheading"/>
    <w:basedOn w:val="Normal"/>
    <w:qFormat/>
    <w:rsid w:val="00105132"/>
    <w:pPr>
      <w:spacing w:before="200"/>
    </w:pPr>
    <w:rPr>
      <w:b/>
      <w:color w:val="008EC4"/>
    </w:rPr>
  </w:style>
  <w:style w:type="paragraph" w:customStyle="1" w:styleId="AHPRASubheadinglevel2">
    <w:name w:val="AHPRA Subheading level 2"/>
    <w:basedOn w:val="AHPRASubheading"/>
    <w:next w:val="Normal"/>
    <w:qFormat/>
    <w:rsid w:val="00105132"/>
    <w:rPr>
      <w:color w:val="auto"/>
    </w:rPr>
  </w:style>
  <w:style w:type="paragraph" w:customStyle="1" w:styleId="AHPRABulletlevel1">
    <w:name w:val="AHPRA Bullet level 1"/>
    <w:basedOn w:val="Normal"/>
    <w:qFormat/>
    <w:rsid w:val="00105132"/>
    <w:pPr>
      <w:numPr>
        <w:numId w:val="1"/>
      </w:numPr>
      <w:spacing w:after="0"/>
      <w:ind w:left="357" w:hanging="357"/>
    </w:pPr>
  </w:style>
  <w:style w:type="paragraph" w:styleId="FootnoteText">
    <w:name w:val="footnote text"/>
    <w:basedOn w:val="Normal"/>
    <w:link w:val="FootnoteTextChar"/>
    <w:uiPriority w:val="99"/>
    <w:rsid w:val="00105132"/>
    <w:rPr>
      <w:sz w:val="18"/>
      <w:szCs w:val="20"/>
    </w:rPr>
  </w:style>
  <w:style w:type="character" w:customStyle="1" w:styleId="FootnoteTextChar">
    <w:name w:val="Footnote Text Char"/>
    <w:basedOn w:val="DefaultParagraphFont"/>
    <w:link w:val="FootnoteText"/>
    <w:uiPriority w:val="99"/>
    <w:rsid w:val="00105132"/>
    <w:rPr>
      <w:rFonts w:ascii="Arial" w:eastAsia="Cambria" w:hAnsi="Arial" w:cs="Times New Roman"/>
      <w:sz w:val="18"/>
      <w:szCs w:val="20"/>
    </w:rPr>
  </w:style>
  <w:style w:type="character" w:styleId="FootnoteReference">
    <w:name w:val="footnote reference"/>
    <w:basedOn w:val="DefaultParagraphFont"/>
    <w:uiPriority w:val="99"/>
    <w:rsid w:val="00105132"/>
    <w:rPr>
      <w:vertAlign w:val="superscript"/>
    </w:rPr>
  </w:style>
  <w:style w:type="character" w:styleId="Hyperlink">
    <w:name w:val="Hyperlink"/>
    <w:uiPriority w:val="99"/>
    <w:unhideWhenUsed/>
    <w:rsid w:val="00105132"/>
    <w:rPr>
      <w:color w:val="0000FF"/>
      <w:u w:val="single"/>
    </w:rPr>
  </w:style>
  <w:style w:type="paragraph" w:customStyle="1" w:styleId="AHPRAbody">
    <w:name w:val="AHPRA body"/>
    <w:basedOn w:val="Normal"/>
    <w:link w:val="AHPRAbodyChar"/>
    <w:qFormat/>
    <w:rsid w:val="00105132"/>
    <w:rPr>
      <w:rFonts w:cs="Arial"/>
      <w:lang w:val="en-AU"/>
    </w:rPr>
  </w:style>
  <w:style w:type="paragraph" w:customStyle="1" w:styleId="AHPRABulletlevel1last">
    <w:name w:val="AHPRA Bullet level 1 last"/>
    <w:basedOn w:val="AHPRABulletlevel1"/>
    <w:next w:val="Normal"/>
    <w:rsid w:val="00105132"/>
    <w:pPr>
      <w:spacing w:after="200"/>
    </w:pPr>
  </w:style>
  <w:style w:type="character" w:customStyle="1" w:styleId="AHPRAbodyChar">
    <w:name w:val="AHPRA body Char"/>
    <w:basedOn w:val="DefaultParagraphFont"/>
    <w:link w:val="AHPRAbody"/>
    <w:rsid w:val="00105132"/>
    <w:rPr>
      <w:rFonts w:ascii="Arial" w:eastAsia="Cambria" w:hAnsi="Arial" w:cs="Arial"/>
      <w:sz w:val="20"/>
      <w:szCs w:val="24"/>
      <w:lang w:val="en-AU"/>
    </w:rPr>
  </w:style>
  <w:style w:type="paragraph" w:styleId="ListNumber">
    <w:name w:val="List Number"/>
    <w:uiPriority w:val="1"/>
    <w:rsid w:val="00105132"/>
    <w:pPr>
      <w:spacing w:line="240" w:lineRule="auto"/>
    </w:pPr>
    <w:rPr>
      <w:rFonts w:ascii="Arial" w:eastAsia="Times New Roman" w:hAnsi="Arial" w:cs="Arial"/>
      <w:noProof/>
      <w:sz w:val="20"/>
      <w:szCs w:val="24"/>
      <w:lang w:val="en-AU" w:eastAsia="en-AU"/>
    </w:rPr>
  </w:style>
  <w:style w:type="paragraph" w:styleId="Header">
    <w:name w:val="header"/>
    <w:basedOn w:val="Normal"/>
    <w:link w:val="HeaderChar"/>
    <w:uiPriority w:val="99"/>
    <w:unhideWhenUsed/>
    <w:rsid w:val="00105132"/>
    <w:pPr>
      <w:tabs>
        <w:tab w:val="center" w:pos="4680"/>
        <w:tab w:val="right" w:pos="9360"/>
      </w:tabs>
      <w:spacing w:after="0"/>
    </w:pPr>
  </w:style>
  <w:style w:type="character" w:customStyle="1" w:styleId="HeaderChar">
    <w:name w:val="Header Char"/>
    <w:basedOn w:val="DefaultParagraphFont"/>
    <w:link w:val="Header"/>
    <w:uiPriority w:val="99"/>
    <w:rsid w:val="00105132"/>
    <w:rPr>
      <w:rFonts w:ascii="Arial" w:eastAsia="Cambria" w:hAnsi="Arial" w:cs="Times New Roman"/>
      <w:sz w:val="20"/>
      <w:szCs w:val="24"/>
    </w:rPr>
  </w:style>
  <w:style w:type="paragraph" w:styleId="Footer">
    <w:name w:val="footer"/>
    <w:basedOn w:val="Normal"/>
    <w:link w:val="FooterChar"/>
    <w:uiPriority w:val="99"/>
    <w:unhideWhenUsed/>
    <w:rsid w:val="00105132"/>
    <w:pPr>
      <w:tabs>
        <w:tab w:val="center" w:pos="4680"/>
        <w:tab w:val="right" w:pos="9360"/>
      </w:tabs>
      <w:spacing w:after="0"/>
    </w:pPr>
  </w:style>
  <w:style w:type="character" w:customStyle="1" w:styleId="FooterChar">
    <w:name w:val="Footer Char"/>
    <w:basedOn w:val="DefaultParagraphFont"/>
    <w:link w:val="Footer"/>
    <w:uiPriority w:val="99"/>
    <w:rsid w:val="00105132"/>
    <w:rPr>
      <w:rFonts w:ascii="Arial" w:eastAsia="Cambria" w:hAnsi="Arial" w:cs="Times New Roman"/>
      <w:sz w:val="20"/>
      <w:szCs w:val="24"/>
    </w:rPr>
  </w:style>
  <w:style w:type="paragraph" w:styleId="BalloonText">
    <w:name w:val="Balloon Text"/>
    <w:basedOn w:val="Normal"/>
    <w:link w:val="BalloonTextChar"/>
    <w:uiPriority w:val="99"/>
    <w:semiHidden/>
    <w:unhideWhenUsed/>
    <w:rsid w:val="001051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32"/>
    <w:rPr>
      <w:rFonts w:ascii="Tahoma" w:eastAsia="Cambria" w:hAnsi="Tahoma" w:cs="Tahoma"/>
      <w:sz w:val="16"/>
      <w:szCs w:val="16"/>
    </w:rPr>
  </w:style>
  <w:style w:type="character" w:styleId="CommentReference">
    <w:name w:val="annotation reference"/>
    <w:basedOn w:val="DefaultParagraphFont"/>
    <w:uiPriority w:val="99"/>
    <w:semiHidden/>
    <w:unhideWhenUsed/>
    <w:rsid w:val="00F933DF"/>
    <w:rPr>
      <w:sz w:val="16"/>
      <w:szCs w:val="16"/>
    </w:rPr>
  </w:style>
  <w:style w:type="paragraph" w:styleId="CommentText">
    <w:name w:val="annotation text"/>
    <w:basedOn w:val="Normal"/>
    <w:link w:val="CommentTextChar"/>
    <w:uiPriority w:val="99"/>
    <w:semiHidden/>
    <w:unhideWhenUsed/>
    <w:rsid w:val="00F933DF"/>
    <w:rPr>
      <w:szCs w:val="20"/>
    </w:rPr>
  </w:style>
  <w:style w:type="character" w:customStyle="1" w:styleId="CommentTextChar">
    <w:name w:val="Comment Text Char"/>
    <w:basedOn w:val="DefaultParagraphFont"/>
    <w:link w:val="CommentText"/>
    <w:uiPriority w:val="99"/>
    <w:semiHidden/>
    <w:rsid w:val="00F933DF"/>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F933DF"/>
    <w:rPr>
      <w:b/>
      <w:bCs/>
    </w:rPr>
  </w:style>
  <w:style w:type="character" w:customStyle="1" w:styleId="CommentSubjectChar">
    <w:name w:val="Comment Subject Char"/>
    <w:basedOn w:val="CommentTextChar"/>
    <w:link w:val="CommentSubject"/>
    <w:uiPriority w:val="99"/>
    <w:semiHidden/>
    <w:rsid w:val="00F933DF"/>
    <w:rPr>
      <w:rFonts w:ascii="Arial" w:eastAsia="Cambria" w:hAnsi="Arial" w:cs="Times New Roman"/>
      <w:b/>
      <w:bCs/>
      <w:sz w:val="20"/>
      <w:szCs w:val="20"/>
    </w:rPr>
  </w:style>
  <w:style w:type="paragraph" w:customStyle="1" w:styleId="AHPRASubhead">
    <w:name w:val="AHPRA Subhead"/>
    <w:basedOn w:val="Normal"/>
    <w:qFormat/>
    <w:rsid w:val="00E51279"/>
    <w:rPr>
      <w:b/>
      <w:color w:val="008EC4"/>
    </w:rPr>
  </w:style>
  <w:style w:type="character" w:styleId="FollowedHyperlink">
    <w:name w:val="FollowedHyperlink"/>
    <w:basedOn w:val="DefaultParagraphFont"/>
    <w:uiPriority w:val="99"/>
    <w:semiHidden/>
    <w:unhideWhenUsed/>
    <w:rsid w:val="008B572A"/>
    <w:rPr>
      <w:color w:val="800080" w:themeColor="followedHyperlink"/>
      <w:u w:val="single"/>
    </w:rPr>
  </w:style>
  <w:style w:type="table" w:styleId="TableGrid">
    <w:name w:val="Table Grid"/>
    <w:basedOn w:val="TableNormal"/>
    <w:rsid w:val="00121D83"/>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tabletext">
    <w:name w:val="AHPRA table text"/>
    <w:basedOn w:val="Normal"/>
    <w:rsid w:val="00121D83"/>
    <w:pPr>
      <w:spacing w:before="120" w:after="120"/>
    </w:pPr>
    <w:rPr>
      <w:szCs w:val="20"/>
    </w:rPr>
  </w:style>
  <w:style w:type="paragraph" w:customStyle="1" w:styleId="Graphhead">
    <w:name w:val="Graph head"/>
    <w:basedOn w:val="Normal"/>
    <w:uiPriority w:val="99"/>
    <w:rsid w:val="00121D83"/>
    <w:pPr>
      <w:widowControl w:val="0"/>
      <w:suppressAutoHyphens/>
      <w:autoSpaceDE w:val="0"/>
      <w:autoSpaceDN w:val="0"/>
      <w:adjustRightInd w:val="0"/>
      <w:spacing w:after="142" w:line="240" w:lineRule="atLeast"/>
    </w:pPr>
    <w:rPr>
      <w:rFonts w:ascii="HelveticaNeue-Bold" w:hAnsi="HelveticaNeue-Bold" w:cs="HelveticaNeue-Bold"/>
      <w:b/>
      <w:bCs/>
      <w:color w:val="FFFFFF"/>
      <w:sz w:val="18"/>
      <w:szCs w:val="18"/>
    </w:rPr>
  </w:style>
  <w:style w:type="paragraph" w:customStyle="1" w:styleId="graphbody">
    <w:name w:val="graph body"/>
    <w:basedOn w:val="Normal"/>
    <w:uiPriority w:val="99"/>
    <w:rsid w:val="00121D83"/>
    <w:pPr>
      <w:widowControl w:val="0"/>
      <w:suppressAutoHyphens/>
      <w:autoSpaceDE w:val="0"/>
      <w:autoSpaceDN w:val="0"/>
      <w:adjustRightInd w:val="0"/>
      <w:spacing w:after="142" w:line="240" w:lineRule="atLeast"/>
    </w:pPr>
    <w:rPr>
      <w:rFonts w:ascii="HelveticaNeue-Light" w:hAnsi="HelveticaNeue-Light" w:cs="HelveticaNeue-Light"/>
      <w:color w:val="1C91FF"/>
      <w:sz w:val="18"/>
      <w:szCs w:val="18"/>
    </w:rPr>
  </w:style>
  <w:style w:type="paragraph" w:customStyle="1" w:styleId="3sub">
    <w:name w:val="3 sub"/>
    <w:basedOn w:val="Normal"/>
    <w:uiPriority w:val="99"/>
    <w:rsid w:val="00121D83"/>
    <w:pPr>
      <w:widowControl w:val="0"/>
      <w:suppressAutoHyphens/>
      <w:autoSpaceDE w:val="0"/>
      <w:autoSpaceDN w:val="0"/>
      <w:adjustRightInd w:val="0"/>
      <w:spacing w:after="142" w:line="240" w:lineRule="atLeast"/>
    </w:pPr>
    <w:rPr>
      <w:rFonts w:ascii="HelveticaNeue-Bold" w:hAnsi="HelveticaNeue-Bold" w:cs="HelveticaNeue-Bold"/>
      <w:b/>
      <w:bCs/>
      <w:color w:val="3FFFED"/>
      <w:sz w:val="18"/>
      <w:szCs w:val="18"/>
    </w:rPr>
  </w:style>
  <w:style w:type="numbering" w:customStyle="1" w:styleId="AHPRABullets">
    <w:name w:val="AHPRA Bullets"/>
    <w:uiPriority w:val="99"/>
    <w:rsid w:val="00121D83"/>
    <w:pPr>
      <w:numPr>
        <w:numId w:val="9"/>
      </w:numPr>
    </w:pPr>
  </w:style>
  <w:style w:type="paragraph" w:customStyle="1" w:styleId="BodyTextBullets">
    <w:name w:val="Body Text Bullets"/>
    <w:uiPriority w:val="1"/>
    <w:qFormat/>
    <w:rsid w:val="00121D83"/>
    <w:pPr>
      <w:numPr>
        <w:numId w:val="9"/>
      </w:numPr>
      <w:spacing w:line="240" w:lineRule="auto"/>
    </w:pPr>
    <w:rPr>
      <w:rFonts w:ascii="Arial" w:eastAsia="Times New Roman" w:hAnsi="Arial" w:cs="Arial"/>
      <w:noProof/>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Registration-Endorsement/Endorsement-Scheduled-Medicines.aspx" TargetMode="External"/><Relationship Id="rId13" Type="http://schemas.openxmlformats.org/officeDocument/2006/relationships/hyperlink" Target="http://www.nps.org.au" TargetMode="External"/><Relationship Id="rId18" Type="http://schemas.openxmlformats.org/officeDocument/2006/relationships/hyperlink" Target="https://www.tga.gov.au/publication/medicines-safety-upd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oosingwisely.org.au/home" TargetMode="External"/><Relationship Id="rId7" Type="http://schemas.openxmlformats.org/officeDocument/2006/relationships/endnotes" Target="endnotes.xml"/><Relationship Id="rId12" Type="http://schemas.openxmlformats.org/officeDocument/2006/relationships/hyperlink" Target="http://www.tg.org.au/" TargetMode="External"/><Relationship Id="rId17" Type="http://schemas.openxmlformats.org/officeDocument/2006/relationships/hyperlink" Target="http://www.safetyandquality.gov.au/our-work/healthcare-associated-infection/antimicrobial-stewardshi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ealth.gov.au/internet/main/publishing.nsf/content/nmp-quality.htm" TargetMode="External"/><Relationship Id="rId20" Type="http://schemas.openxmlformats.org/officeDocument/2006/relationships/hyperlink" Target="https://www.safetyandquality.gov.au/our-work/medication-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amh.net.au/products/electronic/down-20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ms.com.au/index.php/products/mims-online" TargetMode="External"/><Relationship Id="rId23" Type="http://schemas.openxmlformats.org/officeDocument/2006/relationships/header" Target="header1.xml"/><Relationship Id="rId10" Type="http://schemas.openxmlformats.org/officeDocument/2006/relationships/hyperlink" Target="https://www.tga.gov.au/australian-register-therapeutic-goods" TargetMode="External"/><Relationship Id="rId19" Type="http://schemas.openxmlformats.org/officeDocument/2006/relationships/hyperlink" Target="https://www.tga.gov.au/" TargetMode="External"/><Relationship Id="rId4" Type="http://schemas.openxmlformats.org/officeDocument/2006/relationships/settings" Target="settings.xml"/><Relationship Id="rId9" Type="http://schemas.openxmlformats.org/officeDocument/2006/relationships/hyperlink" Target="http://www.podiatryboard.gov.au/Registration-Endorsement/Endorsement-Scheduled-Medicines.aspx" TargetMode="External"/><Relationship Id="rId14" Type="http://schemas.openxmlformats.org/officeDocument/2006/relationships/hyperlink" Target="http://www.mims.com.au/" TargetMode="External"/><Relationship Id="rId22" Type="http://schemas.openxmlformats.org/officeDocument/2006/relationships/hyperlink" Target="https://www.tga.gov.au/updating-medicine-ingredient-nam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ga.gov.au/publication/poisons-standard-susmp" TargetMode="External"/><Relationship Id="rId2" Type="http://schemas.openxmlformats.org/officeDocument/2006/relationships/hyperlink" Target="https://www.tga.gov.au/publication/poisons-standard-susmp" TargetMode="External"/><Relationship Id="rId1" Type="http://schemas.openxmlformats.org/officeDocument/2006/relationships/hyperlink" Target="http://www.nps.org.au/health-professionals/cpd/prescribing-competencies-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D9805-BF9A-4089-97E9-82011299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Endorsement for scheduled medicines - Effective 1 August 2018</dc:title>
  <dc:creator>Podiatry Board</dc:creator>
  <cp:lastModifiedBy>Gareth Meade</cp:lastModifiedBy>
  <cp:revision>3</cp:revision>
  <cp:lastPrinted>2018-04-10T02:51:00Z</cp:lastPrinted>
  <dcterms:created xsi:type="dcterms:W3CDTF">2018-04-23T02:07:00Z</dcterms:created>
  <dcterms:modified xsi:type="dcterms:W3CDTF">2018-04-23T02:10:00Z</dcterms:modified>
</cp:coreProperties>
</file>