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B4" w:rsidRPr="007B6CB4" w:rsidRDefault="007B6CB4" w:rsidP="007B6CB4">
      <w:pPr>
        <w:jc w:val="center"/>
        <w:rPr>
          <w:b/>
          <w:sz w:val="22"/>
          <w:szCs w:val="22"/>
          <w:lang w:val="en-AU"/>
        </w:rPr>
      </w:pPr>
      <w:r w:rsidRPr="007B6CB4">
        <w:rPr>
          <w:b/>
          <w:sz w:val="22"/>
          <w:szCs w:val="22"/>
          <w:lang w:val="en-AU"/>
        </w:rPr>
        <w:t xml:space="preserve">Australian and New Zealand Podiatry Accreditation Council </w:t>
      </w:r>
      <w:r>
        <w:rPr>
          <w:b/>
          <w:sz w:val="22"/>
          <w:szCs w:val="22"/>
          <w:lang w:val="en-AU"/>
        </w:rPr>
        <w:t xml:space="preserve">(ANZPAC) </w:t>
      </w:r>
      <w:r w:rsidRPr="007B6CB4">
        <w:rPr>
          <w:b/>
          <w:sz w:val="22"/>
          <w:szCs w:val="22"/>
          <w:lang w:val="en-AU"/>
        </w:rPr>
        <w:t xml:space="preserve">response to </w:t>
      </w:r>
      <w:r w:rsidR="00EF6392">
        <w:rPr>
          <w:b/>
          <w:sz w:val="22"/>
          <w:szCs w:val="22"/>
          <w:lang w:val="en-AU"/>
        </w:rPr>
        <w:t>public</w:t>
      </w:r>
      <w:r w:rsidRPr="007B6CB4">
        <w:rPr>
          <w:b/>
          <w:sz w:val="22"/>
          <w:szCs w:val="22"/>
          <w:lang w:val="en-AU"/>
        </w:rPr>
        <w:t xml:space="preserve"> consultation paper on </w:t>
      </w:r>
      <w:r w:rsidR="00DF1476">
        <w:rPr>
          <w:b/>
          <w:i/>
          <w:sz w:val="22"/>
          <w:szCs w:val="22"/>
          <w:lang w:val="en-AU"/>
        </w:rPr>
        <w:t>Endorsement for scheduled medicines registration standard and guidelines</w:t>
      </w:r>
    </w:p>
    <w:p w:rsidR="007B6CB4" w:rsidRPr="007B6CB4" w:rsidRDefault="007B6CB4" w:rsidP="007B6CB4">
      <w:pPr>
        <w:jc w:val="both"/>
        <w:rPr>
          <w:sz w:val="22"/>
          <w:szCs w:val="22"/>
          <w:lang w:val="en-AU"/>
        </w:rPr>
      </w:pPr>
    </w:p>
    <w:p w:rsidR="007B6CB4" w:rsidRDefault="002D456B" w:rsidP="007B6CB4">
      <w:pPr>
        <w:jc w:val="both"/>
        <w:rPr>
          <w:sz w:val="22"/>
          <w:szCs w:val="22"/>
          <w:lang w:val="en-AU"/>
        </w:rPr>
      </w:pPr>
      <w:r>
        <w:rPr>
          <w:sz w:val="22"/>
          <w:szCs w:val="22"/>
          <w:lang w:val="en-AU"/>
        </w:rPr>
        <w:t xml:space="preserve">The Australian and New Zealand Podiatry Accreditation Council (ANZPAC) </w:t>
      </w:r>
      <w:proofErr w:type="gramStart"/>
      <w:r w:rsidR="007B6CB4">
        <w:rPr>
          <w:sz w:val="22"/>
          <w:szCs w:val="22"/>
          <w:lang w:val="en-AU"/>
        </w:rPr>
        <w:t>welcomes</w:t>
      </w:r>
      <w:proofErr w:type="gramEnd"/>
      <w:r w:rsidR="007B6CB4">
        <w:rPr>
          <w:sz w:val="22"/>
          <w:szCs w:val="22"/>
          <w:lang w:val="en-AU"/>
        </w:rPr>
        <w:t xml:space="preserve"> the </w:t>
      </w:r>
      <w:r w:rsidR="007B6CB4" w:rsidRPr="007B6CB4">
        <w:rPr>
          <w:sz w:val="22"/>
          <w:szCs w:val="22"/>
          <w:lang w:val="en-AU"/>
        </w:rPr>
        <w:t>opportuni</w:t>
      </w:r>
      <w:r w:rsidR="007B6CB4">
        <w:rPr>
          <w:sz w:val="22"/>
          <w:szCs w:val="22"/>
          <w:lang w:val="en-AU"/>
        </w:rPr>
        <w:t>ty to provide feedback</w:t>
      </w:r>
      <w:r w:rsidR="007B6CB4" w:rsidRPr="007B6CB4">
        <w:rPr>
          <w:sz w:val="22"/>
          <w:szCs w:val="22"/>
          <w:lang w:val="en-AU"/>
        </w:rPr>
        <w:t xml:space="preserve"> </w:t>
      </w:r>
      <w:r w:rsidR="007B6CB4">
        <w:rPr>
          <w:sz w:val="22"/>
          <w:szCs w:val="22"/>
          <w:lang w:val="en-AU"/>
        </w:rPr>
        <w:t>on</w:t>
      </w:r>
      <w:r w:rsidR="007B6CB4" w:rsidRPr="007B6CB4">
        <w:rPr>
          <w:sz w:val="22"/>
          <w:szCs w:val="22"/>
          <w:lang w:val="en-AU"/>
        </w:rPr>
        <w:t xml:space="preserve"> the </w:t>
      </w:r>
      <w:r w:rsidR="00EF6392">
        <w:rPr>
          <w:sz w:val="22"/>
          <w:szCs w:val="22"/>
          <w:lang w:val="en-AU"/>
        </w:rPr>
        <w:t>public</w:t>
      </w:r>
      <w:r w:rsidR="006826F3">
        <w:rPr>
          <w:sz w:val="22"/>
          <w:szCs w:val="22"/>
          <w:lang w:val="en-AU"/>
        </w:rPr>
        <w:t xml:space="preserve"> consultation paper on </w:t>
      </w:r>
      <w:r w:rsidR="00DF1476">
        <w:rPr>
          <w:i/>
          <w:sz w:val="22"/>
          <w:szCs w:val="22"/>
          <w:lang w:val="en-AU"/>
        </w:rPr>
        <w:t>Endorsement for scheduled medicines registration standard and guidelines.</w:t>
      </w:r>
    </w:p>
    <w:p w:rsidR="00214DA1" w:rsidRDefault="00214DA1" w:rsidP="007B6CB4">
      <w:pPr>
        <w:jc w:val="both"/>
        <w:rPr>
          <w:sz w:val="22"/>
          <w:szCs w:val="22"/>
          <w:lang w:val="en-AU"/>
        </w:rPr>
      </w:pPr>
    </w:p>
    <w:p w:rsidR="00214DA1" w:rsidRDefault="00214DA1" w:rsidP="007B6CB4">
      <w:pPr>
        <w:jc w:val="both"/>
        <w:rPr>
          <w:b/>
          <w:sz w:val="22"/>
          <w:szCs w:val="22"/>
          <w:lang w:val="en-AU"/>
        </w:rPr>
      </w:pPr>
      <w:r w:rsidRPr="00214DA1">
        <w:rPr>
          <w:b/>
          <w:sz w:val="22"/>
          <w:szCs w:val="22"/>
          <w:lang w:val="en-AU"/>
        </w:rPr>
        <w:t xml:space="preserve">General </w:t>
      </w:r>
      <w:r>
        <w:rPr>
          <w:b/>
          <w:sz w:val="22"/>
          <w:szCs w:val="22"/>
          <w:lang w:val="en-AU"/>
        </w:rPr>
        <w:t>Statement</w:t>
      </w:r>
    </w:p>
    <w:p w:rsidR="00214DA1" w:rsidRDefault="00214DA1" w:rsidP="007B6CB4">
      <w:pPr>
        <w:jc w:val="both"/>
        <w:rPr>
          <w:b/>
          <w:sz w:val="22"/>
          <w:szCs w:val="22"/>
          <w:lang w:val="en-AU"/>
        </w:rPr>
      </w:pPr>
    </w:p>
    <w:p w:rsidR="002D456B" w:rsidRDefault="00214DA1" w:rsidP="007B6CB4">
      <w:pPr>
        <w:jc w:val="both"/>
        <w:rPr>
          <w:sz w:val="22"/>
          <w:szCs w:val="22"/>
          <w:lang w:val="en-AU"/>
        </w:rPr>
      </w:pPr>
      <w:r>
        <w:rPr>
          <w:sz w:val="22"/>
          <w:szCs w:val="22"/>
          <w:lang w:val="en-AU"/>
        </w:rPr>
        <w:t xml:space="preserve">ANZPAC </w:t>
      </w:r>
      <w:r w:rsidR="00DF1476">
        <w:rPr>
          <w:sz w:val="22"/>
          <w:szCs w:val="22"/>
          <w:lang w:val="en-AU"/>
        </w:rPr>
        <w:t xml:space="preserve">notes that considerable changes have been made to both the registration standard and guidelines as a result of preliminary consultation feedback.  ANZPAC particularly applauds the proposal of the Podiatry Board of Australia </w:t>
      </w:r>
      <w:r w:rsidR="004568E0">
        <w:rPr>
          <w:sz w:val="22"/>
          <w:szCs w:val="22"/>
          <w:lang w:val="en-AU"/>
        </w:rPr>
        <w:t xml:space="preserve">(the Board) </w:t>
      </w:r>
      <w:r w:rsidR="00DF1476">
        <w:rPr>
          <w:sz w:val="22"/>
          <w:szCs w:val="22"/>
          <w:lang w:val="en-AU"/>
        </w:rPr>
        <w:t>to introduce a new Pathway 1 where graduates from an accredited and approved program of study are qualified for endorsement for scheduled medicines</w:t>
      </w:r>
      <w:r w:rsidR="00691861">
        <w:rPr>
          <w:sz w:val="22"/>
          <w:szCs w:val="22"/>
          <w:lang w:val="en-AU"/>
        </w:rPr>
        <w:t>.  ANZPAC also welcomes changes to the evidence requirements for Pathway 2</w:t>
      </w:r>
      <w:r w:rsidR="00EE25C7">
        <w:rPr>
          <w:sz w:val="22"/>
          <w:szCs w:val="22"/>
          <w:lang w:val="en-AU"/>
        </w:rPr>
        <w:t xml:space="preserve"> that </w:t>
      </w:r>
      <w:r w:rsidR="004568E0">
        <w:rPr>
          <w:sz w:val="22"/>
          <w:szCs w:val="22"/>
          <w:lang w:val="en-AU"/>
        </w:rPr>
        <w:t>offer practitioners</w:t>
      </w:r>
      <w:r w:rsidR="00EE25C7">
        <w:rPr>
          <w:sz w:val="22"/>
          <w:szCs w:val="22"/>
          <w:lang w:val="en-AU"/>
        </w:rPr>
        <w:t xml:space="preserve"> flexibility with regard to the evidence they can provide to demonstrate that they have met the Board’s requirements.</w:t>
      </w:r>
      <w:r w:rsidR="00691861">
        <w:rPr>
          <w:sz w:val="22"/>
          <w:szCs w:val="22"/>
          <w:lang w:val="en-AU"/>
        </w:rPr>
        <w:t xml:space="preserve"> </w:t>
      </w:r>
    </w:p>
    <w:p w:rsidR="002D456B" w:rsidRDefault="002D456B" w:rsidP="007B6CB4">
      <w:pPr>
        <w:jc w:val="both"/>
        <w:rPr>
          <w:sz w:val="22"/>
          <w:szCs w:val="22"/>
          <w:lang w:val="en-AU"/>
        </w:rPr>
      </w:pPr>
    </w:p>
    <w:p w:rsidR="00214DA1" w:rsidRPr="0079739E" w:rsidRDefault="00EF6392" w:rsidP="007B6CB4">
      <w:pPr>
        <w:jc w:val="both"/>
        <w:rPr>
          <w:sz w:val="22"/>
          <w:szCs w:val="22"/>
          <w:lang w:val="en-AU"/>
        </w:rPr>
      </w:pPr>
      <w:r w:rsidRPr="0079739E">
        <w:rPr>
          <w:sz w:val="22"/>
          <w:szCs w:val="22"/>
          <w:lang w:val="en-AU"/>
        </w:rPr>
        <w:t>In providing comments on the public consultation, ANZPAC is cognisant of the objectives and guiding principles of the National Registration and Accreditation Scheme (NRAS) that include:</w:t>
      </w:r>
    </w:p>
    <w:p w:rsidR="00EF6392" w:rsidRPr="0079739E" w:rsidRDefault="00EF6392" w:rsidP="007B6CB4">
      <w:pPr>
        <w:jc w:val="both"/>
        <w:rPr>
          <w:sz w:val="22"/>
          <w:szCs w:val="22"/>
          <w:lang w:val="en-AU"/>
        </w:rPr>
      </w:pPr>
    </w:p>
    <w:p w:rsidR="00EF6392" w:rsidRPr="0079739E" w:rsidRDefault="00EF6392" w:rsidP="00E823DB">
      <w:pPr>
        <w:pStyle w:val="ListParagraph"/>
        <w:numPr>
          <w:ilvl w:val="0"/>
          <w:numId w:val="4"/>
        </w:numPr>
        <w:jc w:val="both"/>
        <w:rPr>
          <w:sz w:val="22"/>
          <w:szCs w:val="22"/>
          <w:lang w:val="en-AU"/>
        </w:rPr>
      </w:pPr>
      <w:r w:rsidRPr="0079739E">
        <w:rPr>
          <w:sz w:val="22"/>
          <w:szCs w:val="22"/>
          <w:lang w:val="en-AU"/>
        </w:rPr>
        <w:t>To facilitate the provision of high quality education and training of health practitioners</w:t>
      </w:r>
    </w:p>
    <w:p w:rsidR="00EF6392" w:rsidRPr="0079739E" w:rsidRDefault="00EF6392" w:rsidP="00E823DB">
      <w:pPr>
        <w:pStyle w:val="ListParagraph"/>
        <w:numPr>
          <w:ilvl w:val="0"/>
          <w:numId w:val="4"/>
        </w:numPr>
        <w:jc w:val="both"/>
        <w:rPr>
          <w:sz w:val="22"/>
          <w:szCs w:val="22"/>
          <w:lang w:val="en-AU"/>
        </w:rPr>
      </w:pPr>
      <w:r w:rsidRPr="0079739E">
        <w:rPr>
          <w:sz w:val="22"/>
          <w:szCs w:val="22"/>
          <w:lang w:val="en-AU"/>
        </w:rPr>
        <w:t>To enable the continuous development of a flexible, responsive and sustainable Australian health workforce</w:t>
      </w:r>
    </w:p>
    <w:p w:rsidR="00EF6392" w:rsidRPr="0079739E" w:rsidRDefault="00EF6392" w:rsidP="00E823DB">
      <w:pPr>
        <w:pStyle w:val="ListParagraph"/>
        <w:numPr>
          <w:ilvl w:val="0"/>
          <w:numId w:val="4"/>
        </w:numPr>
        <w:jc w:val="both"/>
        <w:rPr>
          <w:sz w:val="22"/>
          <w:szCs w:val="22"/>
          <w:lang w:val="en-AU"/>
        </w:rPr>
      </w:pPr>
      <w:r w:rsidRPr="0079739E">
        <w:rPr>
          <w:sz w:val="22"/>
          <w:szCs w:val="22"/>
          <w:lang w:val="en-AU"/>
        </w:rPr>
        <w:t xml:space="preserve">To enable innovation in the education of, and service delivery by, health practitioners.  </w:t>
      </w:r>
    </w:p>
    <w:p w:rsidR="00EF6392" w:rsidRPr="0079739E" w:rsidRDefault="00EF6392" w:rsidP="007B6CB4">
      <w:pPr>
        <w:jc w:val="both"/>
        <w:rPr>
          <w:sz w:val="22"/>
          <w:szCs w:val="22"/>
          <w:lang w:val="en-AU"/>
        </w:rPr>
      </w:pPr>
    </w:p>
    <w:p w:rsidR="00EF6392" w:rsidRDefault="00EF6392" w:rsidP="007B6CB4">
      <w:pPr>
        <w:jc w:val="both"/>
        <w:rPr>
          <w:sz w:val="22"/>
          <w:szCs w:val="22"/>
          <w:lang w:val="en-AU"/>
        </w:rPr>
      </w:pPr>
      <w:r w:rsidRPr="0079739E">
        <w:rPr>
          <w:sz w:val="22"/>
          <w:szCs w:val="22"/>
          <w:lang w:val="en-AU"/>
        </w:rPr>
        <w:t>Given the emphasis in the Accreditation Systems Review on supporting educational innovation in programs including clinical training arrangements, use of simulation</w:t>
      </w:r>
      <w:r w:rsidR="00253960" w:rsidRPr="0079739E">
        <w:rPr>
          <w:sz w:val="22"/>
          <w:szCs w:val="22"/>
          <w:lang w:val="en-AU"/>
        </w:rPr>
        <w:t xml:space="preserve">, </w:t>
      </w:r>
      <w:r w:rsidRPr="0079739E">
        <w:rPr>
          <w:sz w:val="22"/>
          <w:szCs w:val="22"/>
          <w:lang w:val="en-AU"/>
        </w:rPr>
        <w:t>inter-professional learning</w:t>
      </w:r>
      <w:r w:rsidR="00253960" w:rsidRPr="0079739E">
        <w:rPr>
          <w:sz w:val="22"/>
          <w:szCs w:val="22"/>
          <w:lang w:val="en-AU"/>
        </w:rPr>
        <w:t xml:space="preserve"> and a need to have a pragmatic and sustainable model of education for obtaining an ESM,</w:t>
      </w:r>
      <w:r w:rsidRPr="0079739E">
        <w:rPr>
          <w:sz w:val="22"/>
          <w:szCs w:val="22"/>
          <w:lang w:val="en-AU"/>
        </w:rPr>
        <w:t xml:space="preserve"> our comments also make reference to these points given the need for robust accreditation standards to support the implementation of this standard.</w:t>
      </w:r>
      <w:r>
        <w:rPr>
          <w:sz w:val="22"/>
          <w:szCs w:val="22"/>
          <w:lang w:val="en-AU"/>
        </w:rPr>
        <w:t xml:space="preserve">  </w:t>
      </w:r>
    </w:p>
    <w:p w:rsidR="00214DA1" w:rsidRDefault="00214DA1" w:rsidP="007B6CB4">
      <w:pPr>
        <w:jc w:val="both"/>
        <w:rPr>
          <w:sz w:val="22"/>
          <w:szCs w:val="22"/>
          <w:lang w:val="en-AU"/>
        </w:rPr>
      </w:pPr>
    </w:p>
    <w:p w:rsidR="00214DA1" w:rsidRPr="00214DA1" w:rsidRDefault="00214DA1" w:rsidP="007B6CB4">
      <w:pPr>
        <w:jc w:val="both"/>
        <w:rPr>
          <w:b/>
          <w:sz w:val="22"/>
          <w:szCs w:val="22"/>
          <w:lang w:val="en-AU"/>
        </w:rPr>
      </w:pPr>
      <w:r w:rsidRPr="00214DA1">
        <w:rPr>
          <w:b/>
          <w:sz w:val="22"/>
          <w:szCs w:val="22"/>
          <w:lang w:val="en-AU"/>
        </w:rPr>
        <w:t>Specific Comments</w:t>
      </w:r>
      <w:r w:rsidR="001948A1">
        <w:rPr>
          <w:b/>
          <w:sz w:val="22"/>
          <w:szCs w:val="22"/>
          <w:lang w:val="en-AU"/>
        </w:rPr>
        <w:t xml:space="preserve"> </w:t>
      </w:r>
      <w:r w:rsidR="00892540">
        <w:rPr>
          <w:b/>
          <w:sz w:val="22"/>
          <w:szCs w:val="22"/>
          <w:lang w:val="en-AU"/>
        </w:rPr>
        <w:t>–</w:t>
      </w:r>
      <w:r w:rsidR="001948A1">
        <w:rPr>
          <w:b/>
          <w:sz w:val="22"/>
          <w:szCs w:val="22"/>
          <w:lang w:val="en-AU"/>
        </w:rPr>
        <w:t xml:space="preserve"> </w:t>
      </w:r>
      <w:r w:rsidR="00892540">
        <w:rPr>
          <w:b/>
          <w:sz w:val="22"/>
          <w:szCs w:val="22"/>
          <w:lang w:val="en-AU"/>
        </w:rPr>
        <w:t>Registration Standard</w:t>
      </w:r>
    </w:p>
    <w:p w:rsidR="004E68FB" w:rsidRPr="004E68FB" w:rsidRDefault="004E68FB" w:rsidP="004E68FB">
      <w:pPr>
        <w:jc w:val="both"/>
        <w:rPr>
          <w:sz w:val="22"/>
          <w:szCs w:val="22"/>
          <w:lang w:val="en-AU"/>
        </w:rPr>
      </w:pPr>
    </w:p>
    <w:p w:rsidR="00623E53" w:rsidRDefault="00892540" w:rsidP="00892540">
      <w:pPr>
        <w:jc w:val="both"/>
        <w:rPr>
          <w:sz w:val="22"/>
          <w:szCs w:val="22"/>
          <w:lang w:val="en-AU"/>
        </w:rPr>
      </w:pPr>
      <w:r>
        <w:rPr>
          <w:sz w:val="22"/>
          <w:szCs w:val="22"/>
          <w:lang w:val="en-AU"/>
        </w:rPr>
        <w:t xml:space="preserve">As stated above, ANZPAC welcomes the </w:t>
      </w:r>
      <w:r w:rsidR="004568E0">
        <w:rPr>
          <w:sz w:val="22"/>
          <w:szCs w:val="22"/>
          <w:lang w:val="en-AU"/>
        </w:rPr>
        <w:t xml:space="preserve">Board’s </w:t>
      </w:r>
      <w:r>
        <w:rPr>
          <w:sz w:val="22"/>
          <w:szCs w:val="22"/>
          <w:lang w:val="en-AU"/>
        </w:rPr>
        <w:t>proposal to introduce a new Pathway 1 where graduates from an accredited and approved program of study are qualified for endorsement for scheduled medicines</w:t>
      </w:r>
      <w:r w:rsidR="004568E0">
        <w:rPr>
          <w:sz w:val="22"/>
          <w:szCs w:val="22"/>
          <w:lang w:val="en-AU"/>
        </w:rPr>
        <w:t xml:space="preserve"> (ESM)</w:t>
      </w:r>
      <w:r>
        <w:rPr>
          <w:sz w:val="22"/>
          <w:szCs w:val="22"/>
          <w:lang w:val="en-AU"/>
        </w:rPr>
        <w:t xml:space="preserve">.  In supporting this proposal, ANZPAC makes the following </w:t>
      </w:r>
      <w:r w:rsidR="00691861">
        <w:rPr>
          <w:sz w:val="22"/>
          <w:szCs w:val="22"/>
          <w:lang w:val="en-AU"/>
        </w:rPr>
        <w:t>specific comments</w:t>
      </w:r>
      <w:r>
        <w:rPr>
          <w:sz w:val="22"/>
          <w:szCs w:val="22"/>
          <w:lang w:val="en-AU"/>
        </w:rPr>
        <w:t>:</w:t>
      </w:r>
    </w:p>
    <w:p w:rsidR="00892540" w:rsidRDefault="00892540" w:rsidP="00892540">
      <w:pPr>
        <w:jc w:val="both"/>
        <w:rPr>
          <w:sz w:val="22"/>
          <w:szCs w:val="22"/>
          <w:lang w:val="en-AU"/>
        </w:rPr>
      </w:pPr>
    </w:p>
    <w:p w:rsidR="00253960" w:rsidRDefault="00253960" w:rsidP="00EE25C7">
      <w:pPr>
        <w:pStyle w:val="ListParagraph"/>
        <w:numPr>
          <w:ilvl w:val="0"/>
          <w:numId w:val="2"/>
        </w:numPr>
        <w:ind w:left="360"/>
        <w:jc w:val="both"/>
        <w:rPr>
          <w:sz w:val="22"/>
          <w:szCs w:val="22"/>
          <w:lang w:val="en-AU"/>
        </w:rPr>
      </w:pPr>
      <w:r>
        <w:rPr>
          <w:sz w:val="22"/>
          <w:szCs w:val="22"/>
          <w:lang w:val="en-AU"/>
        </w:rPr>
        <w:t>There is the potential for ambiguity between</w:t>
      </w:r>
      <w:r w:rsidR="00141FB6">
        <w:rPr>
          <w:sz w:val="22"/>
          <w:szCs w:val="22"/>
          <w:lang w:val="en-AU"/>
        </w:rPr>
        <w:t xml:space="preserve"> recognition of</w:t>
      </w:r>
      <w:r>
        <w:rPr>
          <w:sz w:val="22"/>
          <w:szCs w:val="22"/>
          <w:lang w:val="en-AU"/>
        </w:rPr>
        <w:t xml:space="preserve"> the ‘new’ and ‘</w:t>
      </w:r>
      <w:r w:rsidR="00141FB6">
        <w:rPr>
          <w:sz w:val="22"/>
          <w:szCs w:val="22"/>
          <w:lang w:val="en-AU"/>
        </w:rPr>
        <w:t>current</w:t>
      </w:r>
      <w:r>
        <w:rPr>
          <w:sz w:val="22"/>
          <w:szCs w:val="22"/>
          <w:lang w:val="en-AU"/>
        </w:rPr>
        <w:t>’ Pathways 1 and 2</w:t>
      </w:r>
      <w:r w:rsidR="00141FB6">
        <w:rPr>
          <w:sz w:val="22"/>
          <w:szCs w:val="22"/>
          <w:lang w:val="en-AU"/>
        </w:rPr>
        <w:t xml:space="preserve"> amongst stakeholders</w:t>
      </w:r>
      <w:r>
        <w:rPr>
          <w:sz w:val="22"/>
          <w:szCs w:val="22"/>
          <w:lang w:val="en-AU"/>
        </w:rPr>
        <w:t>.  ANZPAC suggests that the new Pathways be given new designations – perhaps ‘A’ and ‘B’</w:t>
      </w:r>
      <w:r w:rsidR="00141FB6">
        <w:rPr>
          <w:sz w:val="22"/>
          <w:szCs w:val="22"/>
          <w:lang w:val="en-AU"/>
        </w:rPr>
        <w:t>.</w:t>
      </w:r>
    </w:p>
    <w:p w:rsidR="00545B2D" w:rsidRDefault="00892540" w:rsidP="0079739E">
      <w:pPr>
        <w:pStyle w:val="ListParagraph"/>
        <w:numPr>
          <w:ilvl w:val="0"/>
          <w:numId w:val="2"/>
        </w:numPr>
        <w:ind w:left="360"/>
        <w:jc w:val="both"/>
        <w:rPr>
          <w:sz w:val="22"/>
          <w:szCs w:val="22"/>
          <w:lang w:val="en-AU"/>
        </w:rPr>
        <w:sectPr w:rsidR="00545B2D" w:rsidSect="007B6CB4">
          <w:headerReference w:type="default" r:id="rId7"/>
          <w:footerReference w:type="default" r:id="rId8"/>
          <w:pgSz w:w="11900" w:h="16840"/>
          <w:pgMar w:top="1440" w:right="1440" w:bottom="1440" w:left="1440" w:header="708" w:footer="708" w:gutter="0"/>
          <w:cols w:space="708"/>
        </w:sectPr>
      </w:pPr>
      <w:r w:rsidRPr="00EE25C7">
        <w:rPr>
          <w:sz w:val="22"/>
          <w:szCs w:val="22"/>
          <w:lang w:val="en-AU"/>
        </w:rPr>
        <w:t xml:space="preserve">Current ESM accreditation standards do already map to the </w:t>
      </w:r>
      <w:r w:rsidRPr="00EE25C7">
        <w:rPr>
          <w:i/>
          <w:sz w:val="22"/>
          <w:szCs w:val="22"/>
          <w:lang w:val="en-AU"/>
        </w:rPr>
        <w:t xml:space="preserve">NPS </w:t>
      </w:r>
      <w:proofErr w:type="spellStart"/>
      <w:r w:rsidRPr="00EE25C7">
        <w:rPr>
          <w:i/>
          <w:sz w:val="22"/>
          <w:szCs w:val="22"/>
          <w:lang w:val="en-AU"/>
        </w:rPr>
        <w:t>Medicinewise</w:t>
      </w:r>
      <w:proofErr w:type="spellEnd"/>
      <w:r w:rsidRPr="00EE25C7">
        <w:rPr>
          <w:i/>
          <w:sz w:val="22"/>
          <w:szCs w:val="22"/>
          <w:lang w:val="en-AU"/>
        </w:rPr>
        <w:t xml:space="preserve"> Prescribing Competencies Framework</w:t>
      </w:r>
      <w:r w:rsidRPr="00EE25C7">
        <w:rPr>
          <w:sz w:val="22"/>
          <w:szCs w:val="22"/>
          <w:lang w:val="en-AU"/>
        </w:rPr>
        <w:t xml:space="preserve"> however ANZPAC acknowledges that a review of all ESM accreditation standards is required to </w:t>
      </w:r>
      <w:r w:rsidR="00691861" w:rsidRPr="00EE25C7">
        <w:rPr>
          <w:sz w:val="22"/>
          <w:szCs w:val="22"/>
          <w:lang w:val="en-AU"/>
        </w:rPr>
        <w:t xml:space="preserve">facilitate </w:t>
      </w:r>
      <w:r w:rsidR="00545B2D">
        <w:rPr>
          <w:sz w:val="22"/>
          <w:szCs w:val="22"/>
          <w:lang w:val="en-AU"/>
        </w:rPr>
        <w:t>the introduction of this pathway</w:t>
      </w:r>
    </w:p>
    <w:p w:rsidR="00892540" w:rsidRPr="00545B2D" w:rsidRDefault="00892540" w:rsidP="00545B2D">
      <w:pPr>
        <w:jc w:val="both"/>
        <w:rPr>
          <w:sz w:val="22"/>
          <w:szCs w:val="22"/>
          <w:lang w:val="en-AU"/>
        </w:rPr>
      </w:pPr>
    </w:p>
    <w:p w:rsidR="00D72723" w:rsidRPr="00545B2D" w:rsidRDefault="00EE25C7" w:rsidP="00D72723">
      <w:pPr>
        <w:pStyle w:val="ListParagraph"/>
        <w:numPr>
          <w:ilvl w:val="0"/>
          <w:numId w:val="2"/>
        </w:numPr>
        <w:ind w:left="360"/>
        <w:jc w:val="both"/>
        <w:rPr>
          <w:sz w:val="22"/>
          <w:szCs w:val="22"/>
          <w:lang w:val="en-AU"/>
        </w:rPr>
      </w:pPr>
      <w:r w:rsidRPr="00EE25C7">
        <w:rPr>
          <w:sz w:val="22"/>
          <w:szCs w:val="22"/>
          <w:lang w:val="en-AU"/>
        </w:rPr>
        <w:t xml:space="preserve">With regard </w:t>
      </w:r>
      <w:r w:rsidR="004568E0">
        <w:rPr>
          <w:sz w:val="22"/>
          <w:szCs w:val="22"/>
          <w:lang w:val="en-AU"/>
        </w:rPr>
        <w:t xml:space="preserve">to </w:t>
      </w:r>
      <w:r w:rsidRPr="00EE25C7">
        <w:rPr>
          <w:sz w:val="22"/>
          <w:szCs w:val="22"/>
          <w:lang w:val="en-AU"/>
        </w:rPr>
        <w:t>p</w:t>
      </w:r>
      <w:r w:rsidR="00892540" w:rsidRPr="00EE25C7">
        <w:rPr>
          <w:sz w:val="22"/>
          <w:szCs w:val="22"/>
          <w:lang w:val="en-AU"/>
        </w:rPr>
        <w:t xml:space="preserve">oint 1 (b) </w:t>
      </w:r>
      <w:r w:rsidRPr="00EE25C7">
        <w:rPr>
          <w:sz w:val="22"/>
          <w:szCs w:val="22"/>
          <w:lang w:val="en-AU"/>
        </w:rPr>
        <w:t xml:space="preserve">in the proposed revised ESM registration standard, namely </w:t>
      </w:r>
      <w:r w:rsidR="00892540" w:rsidRPr="00EE25C7">
        <w:rPr>
          <w:i/>
          <w:sz w:val="22"/>
          <w:szCs w:val="22"/>
          <w:lang w:val="en-AU"/>
        </w:rPr>
        <w:t>“another qualification that the Board considers to be substantially equivalent to, or based on similar competencies to, an approved qualification in podiatric therapeutics</w:t>
      </w:r>
      <w:r w:rsidRPr="00EE25C7">
        <w:rPr>
          <w:i/>
          <w:sz w:val="22"/>
          <w:szCs w:val="22"/>
          <w:lang w:val="en-AU"/>
        </w:rPr>
        <w:t>”</w:t>
      </w:r>
      <w:r w:rsidR="00892540" w:rsidRPr="00EE25C7">
        <w:rPr>
          <w:i/>
          <w:sz w:val="22"/>
          <w:szCs w:val="22"/>
          <w:lang w:val="en-AU"/>
        </w:rPr>
        <w:t xml:space="preserve"> </w:t>
      </w:r>
      <w:r w:rsidR="00892540" w:rsidRPr="00EE25C7">
        <w:rPr>
          <w:sz w:val="22"/>
          <w:szCs w:val="22"/>
          <w:lang w:val="en-AU"/>
        </w:rPr>
        <w:t xml:space="preserve">– will ANZPAC </w:t>
      </w:r>
      <w:r w:rsidRPr="00EE25C7">
        <w:rPr>
          <w:sz w:val="22"/>
          <w:szCs w:val="22"/>
          <w:lang w:val="en-AU"/>
        </w:rPr>
        <w:t xml:space="preserve">continue to </w:t>
      </w:r>
      <w:r w:rsidR="00892540" w:rsidRPr="00EE25C7">
        <w:rPr>
          <w:sz w:val="22"/>
          <w:szCs w:val="22"/>
          <w:lang w:val="en-AU"/>
        </w:rPr>
        <w:t>undertake these assessments and will they be required to be assessed against the rev</w:t>
      </w:r>
      <w:r w:rsidRPr="00EE25C7">
        <w:rPr>
          <w:sz w:val="22"/>
          <w:szCs w:val="22"/>
          <w:lang w:val="en-AU"/>
        </w:rPr>
        <w:t>ised ESM accreditation standards</w:t>
      </w:r>
      <w:r w:rsidR="004568E0">
        <w:rPr>
          <w:sz w:val="22"/>
          <w:szCs w:val="22"/>
          <w:lang w:val="en-AU"/>
        </w:rPr>
        <w:t xml:space="preserve"> only</w:t>
      </w:r>
      <w:r w:rsidRPr="00EE25C7">
        <w:rPr>
          <w:sz w:val="22"/>
          <w:szCs w:val="22"/>
          <w:lang w:val="en-AU"/>
        </w:rPr>
        <w:t>?</w:t>
      </w:r>
    </w:p>
    <w:p w:rsidR="00E823DB" w:rsidRPr="00EE25C7" w:rsidRDefault="00E823DB" w:rsidP="00E823DB">
      <w:pPr>
        <w:pStyle w:val="ListParagraph"/>
        <w:numPr>
          <w:ilvl w:val="0"/>
          <w:numId w:val="2"/>
        </w:numPr>
        <w:ind w:left="360"/>
        <w:jc w:val="both"/>
        <w:rPr>
          <w:sz w:val="22"/>
          <w:szCs w:val="22"/>
          <w:lang w:val="en-AU"/>
        </w:rPr>
      </w:pPr>
      <w:r w:rsidRPr="00EE25C7">
        <w:rPr>
          <w:sz w:val="22"/>
          <w:szCs w:val="22"/>
          <w:lang w:val="en-AU"/>
        </w:rPr>
        <w:t xml:space="preserve">Is the Board able to demonstrate where the evidence exists to justify the use of 15 online </w:t>
      </w:r>
      <w:r>
        <w:rPr>
          <w:sz w:val="22"/>
          <w:szCs w:val="22"/>
          <w:lang w:val="en-AU"/>
        </w:rPr>
        <w:t>case studies?</w:t>
      </w:r>
      <w:r w:rsidRPr="00EE25C7">
        <w:rPr>
          <w:sz w:val="22"/>
          <w:szCs w:val="22"/>
          <w:lang w:val="en-AU"/>
        </w:rPr>
        <w:t xml:space="preserve">  As you are aware, with the move away from prescriptive standards and the philosophy that it’s </w:t>
      </w:r>
      <w:r>
        <w:rPr>
          <w:sz w:val="22"/>
          <w:szCs w:val="22"/>
          <w:lang w:val="en-AU"/>
        </w:rPr>
        <w:t xml:space="preserve">a </w:t>
      </w:r>
      <w:r w:rsidRPr="00EE25C7">
        <w:rPr>
          <w:sz w:val="22"/>
          <w:szCs w:val="22"/>
          <w:lang w:val="en-AU"/>
        </w:rPr>
        <w:t>mat</w:t>
      </w:r>
      <w:r>
        <w:rPr>
          <w:sz w:val="22"/>
          <w:szCs w:val="22"/>
          <w:lang w:val="en-AU"/>
        </w:rPr>
        <w:t>ter of demonstrating competence rather than achieving a certain threshold,</w:t>
      </w:r>
      <w:r w:rsidRPr="00EE25C7">
        <w:rPr>
          <w:sz w:val="22"/>
          <w:szCs w:val="22"/>
          <w:lang w:val="en-AU"/>
        </w:rPr>
        <w:t xml:space="preserve"> further clarification</w:t>
      </w:r>
      <w:r w:rsidR="00AC753F">
        <w:rPr>
          <w:sz w:val="22"/>
          <w:szCs w:val="22"/>
          <w:lang w:val="en-AU"/>
        </w:rPr>
        <w:t xml:space="preserve"> would assist providers in creating this resource.</w:t>
      </w:r>
    </w:p>
    <w:p w:rsidR="00E823DB" w:rsidRPr="00EE25C7" w:rsidRDefault="00E823DB" w:rsidP="00E823DB">
      <w:pPr>
        <w:pStyle w:val="ListParagraph"/>
        <w:numPr>
          <w:ilvl w:val="0"/>
          <w:numId w:val="2"/>
        </w:numPr>
        <w:ind w:left="360"/>
        <w:jc w:val="both"/>
        <w:rPr>
          <w:sz w:val="22"/>
          <w:szCs w:val="22"/>
          <w:lang w:val="en-AU"/>
        </w:rPr>
      </w:pPr>
      <w:r>
        <w:rPr>
          <w:sz w:val="22"/>
          <w:szCs w:val="22"/>
          <w:lang w:val="en-AU"/>
        </w:rPr>
        <w:t>Could the Board please articulate h</w:t>
      </w:r>
      <w:r w:rsidRPr="00EE25C7">
        <w:rPr>
          <w:sz w:val="22"/>
          <w:szCs w:val="22"/>
          <w:lang w:val="en-AU"/>
        </w:rPr>
        <w:t xml:space="preserve">ow, and against what criteria </w:t>
      </w:r>
      <w:r>
        <w:rPr>
          <w:sz w:val="22"/>
          <w:szCs w:val="22"/>
          <w:lang w:val="en-AU"/>
        </w:rPr>
        <w:t>it will</w:t>
      </w:r>
      <w:r w:rsidRPr="00EE25C7">
        <w:rPr>
          <w:sz w:val="22"/>
          <w:szCs w:val="22"/>
          <w:lang w:val="en-AU"/>
        </w:rPr>
        <w:t xml:space="preserve"> approve these online case studies?</w:t>
      </w:r>
      <w:r>
        <w:rPr>
          <w:sz w:val="22"/>
          <w:szCs w:val="22"/>
          <w:lang w:val="en-AU"/>
        </w:rPr>
        <w:t xml:space="preserve">  </w:t>
      </w:r>
      <w:r w:rsidR="00F6390C">
        <w:rPr>
          <w:sz w:val="22"/>
          <w:szCs w:val="22"/>
          <w:lang w:val="en-AU"/>
        </w:rPr>
        <w:t>ANZPAC is able to assist the Board in providing expert advice on the assessment of the supervised practice evidence portfolio as an extension of our role under our current Agreement.</w:t>
      </w:r>
    </w:p>
    <w:p w:rsidR="00E823DB" w:rsidRDefault="00E823DB" w:rsidP="00E823DB">
      <w:pPr>
        <w:pStyle w:val="ListParagraph"/>
        <w:numPr>
          <w:ilvl w:val="0"/>
          <w:numId w:val="2"/>
        </w:numPr>
        <w:ind w:left="360"/>
        <w:jc w:val="both"/>
        <w:rPr>
          <w:sz w:val="22"/>
          <w:szCs w:val="22"/>
          <w:lang w:val="en-AU"/>
        </w:rPr>
      </w:pPr>
      <w:r>
        <w:rPr>
          <w:sz w:val="22"/>
          <w:szCs w:val="22"/>
          <w:lang w:val="en-AU"/>
        </w:rPr>
        <w:t>Is the Board able to demonstrate where the evidence exists to justify the use of</w:t>
      </w:r>
      <w:r w:rsidRPr="00EE25C7">
        <w:rPr>
          <w:sz w:val="22"/>
          <w:szCs w:val="22"/>
          <w:lang w:val="en-AU"/>
        </w:rPr>
        <w:t xml:space="preserve"> 150 hours </w:t>
      </w:r>
      <w:r>
        <w:rPr>
          <w:sz w:val="22"/>
          <w:szCs w:val="22"/>
          <w:lang w:val="en-AU"/>
        </w:rPr>
        <w:t xml:space="preserve">of supervised practice </w:t>
      </w:r>
      <w:r w:rsidRPr="00EE25C7">
        <w:rPr>
          <w:sz w:val="22"/>
          <w:szCs w:val="22"/>
          <w:lang w:val="en-AU"/>
        </w:rPr>
        <w:t>wi</w:t>
      </w:r>
      <w:r>
        <w:rPr>
          <w:sz w:val="22"/>
          <w:szCs w:val="22"/>
          <w:lang w:val="en-AU"/>
        </w:rPr>
        <w:t xml:space="preserve">thin a 12-month period?  This relatively short timeframe may mean that some applicants have started supervised practice, but are unable to finish it within the prescribed timeframe. </w:t>
      </w:r>
      <w:r w:rsidR="00AC753F">
        <w:rPr>
          <w:sz w:val="22"/>
          <w:szCs w:val="22"/>
          <w:lang w:val="en-AU"/>
        </w:rPr>
        <w:t xml:space="preserve">Extending the 12-month period to 24-months would be likely to assist applicants considerably in balancing their normal work and supervised practice. </w:t>
      </w:r>
      <w:r>
        <w:rPr>
          <w:sz w:val="22"/>
          <w:szCs w:val="22"/>
          <w:lang w:val="en-AU"/>
        </w:rPr>
        <w:t>Additionally, the use of theoretical or simulation case scenarios may be designed in such a way that development of competence in prescribing is achieved faster than 150 hours</w:t>
      </w:r>
      <w:r w:rsidR="00AC753F">
        <w:rPr>
          <w:sz w:val="22"/>
          <w:szCs w:val="22"/>
          <w:lang w:val="en-AU"/>
        </w:rPr>
        <w:t xml:space="preserve"> – perhaps the 150 hours could be described as ‘indicative’, and more of a focus put on the quality of the </w:t>
      </w:r>
      <w:r w:rsidR="00584EA6">
        <w:rPr>
          <w:sz w:val="22"/>
          <w:szCs w:val="22"/>
          <w:lang w:val="en-AU"/>
        </w:rPr>
        <w:t>portfolios of evidence that are submitted for review.</w:t>
      </w:r>
    </w:p>
    <w:p w:rsidR="00A01CC5" w:rsidRPr="000F7687" w:rsidRDefault="00A01CC5" w:rsidP="00E823DB">
      <w:pPr>
        <w:pStyle w:val="ListParagraph"/>
        <w:numPr>
          <w:ilvl w:val="0"/>
          <w:numId w:val="2"/>
        </w:numPr>
        <w:ind w:left="360"/>
        <w:jc w:val="both"/>
        <w:rPr>
          <w:sz w:val="22"/>
          <w:szCs w:val="22"/>
          <w:lang w:val="en-AU"/>
        </w:rPr>
      </w:pPr>
      <w:r w:rsidRPr="000F7687">
        <w:rPr>
          <w:sz w:val="22"/>
          <w:szCs w:val="22"/>
          <w:lang w:val="en-AU"/>
        </w:rPr>
        <w:t xml:space="preserve">Similarly, ANZPAC is concerned that the prescriptive nature of the 150 hours of supervised practice detracts from a competency focus </w:t>
      </w:r>
      <w:r w:rsidR="000F7687">
        <w:rPr>
          <w:sz w:val="22"/>
          <w:szCs w:val="22"/>
          <w:lang w:val="en-AU"/>
        </w:rPr>
        <w:t xml:space="preserve">(does 149 hours meant the applicant is ‘incompetent’) </w:t>
      </w:r>
      <w:r w:rsidRPr="000F7687">
        <w:rPr>
          <w:sz w:val="22"/>
          <w:szCs w:val="22"/>
          <w:lang w:val="en-AU"/>
        </w:rPr>
        <w:t xml:space="preserve">and the need for applicants to demonstrate how they meet the </w:t>
      </w:r>
      <w:r w:rsidRPr="000F7687">
        <w:rPr>
          <w:i/>
          <w:sz w:val="22"/>
          <w:szCs w:val="22"/>
          <w:lang w:val="en-AU"/>
        </w:rPr>
        <w:t xml:space="preserve">NPS </w:t>
      </w:r>
      <w:proofErr w:type="spellStart"/>
      <w:r w:rsidRPr="000F7687">
        <w:rPr>
          <w:i/>
          <w:sz w:val="22"/>
          <w:szCs w:val="22"/>
          <w:lang w:val="en-AU"/>
        </w:rPr>
        <w:t>Medicinewise</w:t>
      </w:r>
      <w:proofErr w:type="spellEnd"/>
      <w:r w:rsidRPr="000F7687">
        <w:rPr>
          <w:i/>
          <w:sz w:val="22"/>
          <w:szCs w:val="22"/>
          <w:lang w:val="en-AU"/>
        </w:rPr>
        <w:t xml:space="preserve"> Prescribing Competencies Framework</w:t>
      </w:r>
      <w:r w:rsidRPr="000F7687">
        <w:rPr>
          <w:sz w:val="22"/>
          <w:szCs w:val="22"/>
          <w:lang w:val="en-AU"/>
        </w:rPr>
        <w:t>.</w:t>
      </w:r>
    </w:p>
    <w:p w:rsidR="00E823DB" w:rsidRDefault="00E823DB" w:rsidP="00E823DB">
      <w:pPr>
        <w:pStyle w:val="ListParagraph"/>
        <w:numPr>
          <w:ilvl w:val="0"/>
          <w:numId w:val="2"/>
        </w:numPr>
        <w:ind w:left="360"/>
        <w:jc w:val="both"/>
        <w:rPr>
          <w:sz w:val="22"/>
          <w:szCs w:val="22"/>
          <w:lang w:val="en-AU"/>
        </w:rPr>
      </w:pPr>
      <w:r>
        <w:rPr>
          <w:sz w:val="22"/>
          <w:szCs w:val="22"/>
          <w:lang w:val="en-AU"/>
        </w:rPr>
        <w:t>ANZPAC seeks further clarification w</w:t>
      </w:r>
      <w:r w:rsidRPr="00EE25C7">
        <w:rPr>
          <w:sz w:val="22"/>
          <w:szCs w:val="22"/>
          <w:lang w:val="en-AU"/>
        </w:rPr>
        <w:t xml:space="preserve">hy after 25 hours of supervised practice </w:t>
      </w:r>
      <w:r>
        <w:rPr>
          <w:sz w:val="22"/>
          <w:szCs w:val="22"/>
          <w:lang w:val="en-AU"/>
        </w:rPr>
        <w:t>applicants</w:t>
      </w:r>
      <w:r w:rsidRPr="00EE25C7">
        <w:rPr>
          <w:sz w:val="22"/>
          <w:szCs w:val="22"/>
          <w:lang w:val="en-AU"/>
        </w:rPr>
        <w:t xml:space="preserve"> must submit to the Board for assessment three </w:t>
      </w:r>
      <w:r>
        <w:rPr>
          <w:sz w:val="22"/>
          <w:szCs w:val="22"/>
          <w:lang w:val="en-AU"/>
        </w:rPr>
        <w:t xml:space="preserve">(3) </w:t>
      </w:r>
      <w:r w:rsidRPr="00EE25C7">
        <w:rPr>
          <w:sz w:val="22"/>
          <w:szCs w:val="22"/>
          <w:lang w:val="en-AU"/>
        </w:rPr>
        <w:t>clinical studies</w:t>
      </w:r>
      <w:r w:rsidR="00E75560">
        <w:rPr>
          <w:sz w:val="22"/>
          <w:szCs w:val="22"/>
          <w:lang w:val="en-AU"/>
        </w:rPr>
        <w:t xml:space="preserve">.  Specifically, ANZPAC is keen to understand the Board’s rationale for this “checkpoint” and what form feedback will be back to applicants.  </w:t>
      </w:r>
      <w:r w:rsidRPr="00EE25C7">
        <w:rPr>
          <w:sz w:val="22"/>
          <w:szCs w:val="22"/>
          <w:lang w:val="en-AU"/>
        </w:rPr>
        <w:t xml:space="preserve">  </w:t>
      </w:r>
      <w:r w:rsidR="00E75560">
        <w:rPr>
          <w:sz w:val="22"/>
          <w:szCs w:val="22"/>
          <w:lang w:val="en-AU"/>
        </w:rPr>
        <w:t>ANZPAC is certainly keen to work with the Board to identify and develop high-quality sample portfolio/case submissions that could be used to assist in this process.</w:t>
      </w:r>
    </w:p>
    <w:p w:rsidR="00E823DB" w:rsidRDefault="00E823DB" w:rsidP="00E823DB">
      <w:pPr>
        <w:tabs>
          <w:tab w:val="left" w:pos="3227"/>
        </w:tabs>
        <w:jc w:val="both"/>
        <w:rPr>
          <w:b/>
          <w:sz w:val="22"/>
          <w:szCs w:val="22"/>
          <w:lang w:val="en-AU"/>
        </w:rPr>
      </w:pPr>
      <w:r>
        <w:rPr>
          <w:b/>
          <w:sz w:val="22"/>
          <w:szCs w:val="22"/>
          <w:lang w:val="en-AU"/>
        </w:rPr>
        <w:tab/>
      </w:r>
    </w:p>
    <w:p w:rsidR="00E823DB" w:rsidRPr="00EE25C7" w:rsidRDefault="00E823DB" w:rsidP="00E823DB">
      <w:pPr>
        <w:jc w:val="both"/>
        <w:rPr>
          <w:sz w:val="22"/>
          <w:szCs w:val="22"/>
          <w:lang w:val="en-AU"/>
        </w:rPr>
      </w:pPr>
      <w:r w:rsidRPr="00EE25C7">
        <w:rPr>
          <w:b/>
          <w:sz w:val="22"/>
          <w:szCs w:val="22"/>
          <w:lang w:val="en-AU"/>
        </w:rPr>
        <w:t xml:space="preserve">Specific Comments – </w:t>
      </w:r>
      <w:r>
        <w:rPr>
          <w:b/>
          <w:sz w:val="22"/>
          <w:szCs w:val="22"/>
          <w:lang w:val="en-AU"/>
        </w:rPr>
        <w:t>Guidelines</w:t>
      </w:r>
    </w:p>
    <w:p w:rsidR="00E823DB" w:rsidRPr="004E68FB" w:rsidRDefault="00E823DB" w:rsidP="00E823DB">
      <w:pPr>
        <w:jc w:val="both"/>
        <w:rPr>
          <w:sz w:val="22"/>
          <w:szCs w:val="22"/>
          <w:lang w:val="en-AU"/>
        </w:rPr>
      </w:pPr>
    </w:p>
    <w:p w:rsidR="00E823DB" w:rsidRDefault="00E823DB" w:rsidP="00E823DB">
      <w:pPr>
        <w:jc w:val="both"/>
        <w:rPr>
          <w:sz w:val="22"/>
          <w:szCs w:val="22"/>
          <w:lang w:val="en-AU"/>
        </w:rPr>
      </w:pPr>
      <w:r w:rsidRPr="00D03CEC">
        <w:rPr>
          <w:sz w:val="22"/>
          <w:szCs w:val="22"/>
          <w:lang w:val="en-AU"/>
        </w:rPr>
        <w:t>ANZPAC endorses t</w:t>
      </w:r>
      <w:r>
        <w:rPr>
          <w:sz w:val="22"/>
          <w:szCs w:val="22"/>
          <w:lang w:val="en-AU"/>
        </w:rPr>
        <w:t>he proposed revised guidelines with the following specific comments:</w:t>
      </w:r>
    </w:p>
    <w:p w:rsidR="00E823DB" w:rsidRDefault="00E823DB" w:rsidP="00E823DB">
      <w:pPr>
        <w:jc w:val="both"/>
        <w:rPr>
          <w:sz w:val="22"/>
          <w:szCs w:val="22"/>
          <w:lang w:val="en-AU"/>
        </w:rPr>
      </w:pPr>
    </w:p>
    <w:p w:rsidR="00E823DB" w:rsidRDefault="00E823DB" w:rsidP="00E823DB">
      <w:pPr>
        <w:pStyle w:val="ListParagraph"/>
        <w:numPr>
          <w:ilvl w:val="0"/>
          <w:numId w:val="3"/>
        </w:numPr>
        <w:jc w:val="both"/>
        <w:rPr>
          <w:sz w:val="22"/>
          <w:szCs w:val="22"/>
          <w:lang w:val="en-AU"/>
        </w:rPr>
      </w:pPr>
      <w:r w:rsidRPr="00B75C49">
        <w:rPr>
          <w:sz w:val="22"/>
          <w:szCs w:val="22"/>
          <w:lang w:val="en-AU"/>
        </w:rPr>
        <w:t xml:space="preserve">ANZPAC proposes that the Board considers opportunities for applicants to apply to seek </w:t>
      </w:r>
      <w:r w:rsidR="00E75560">
        <w:rPr>
          <w:sz w:val="22"/>
          <w:szCs w:val="22"/>
          <w:lang w:val="en-AU"/>
        </w:rPr>
        <w:t>an extension</w:t>
      </w:r>
      <w:r w:rsidR="00E75560" w:rsidRPr="00B75C49">
        <w:rPr>
          <w:sz w:val="22"/>
          <w:szCs w:val="22"/>
          <w:lang w:val="en-AU"/>
        </w:rPr>
        <w:t xml:space="preserve"> </w:t>
      </w:r>
      <w:r w:rsidRPr="00B75C49">
        <w:rPr>
          <w:sz w:val="22"/>
          <w:szCs w:val="22"/>
          <w:lang w:val="en-AU"/>
        </w:rPr>
        <w:t>from the</w:t>
      </w:r>
      <w:r w:rsidR="00E75560">
        <w:rPr>
          <w:sz w:val="22"/>
          <w:szCs w:val="22"/>
          <w:lang w:val="en-AU"/>
        </w:rPr>
        <w:t xml:space="preserve"> current</w:t>
      </w:r>
      <w:r w:rsidRPr="00B75C49">
        <w:rPr>
          <w:sz w:val="22"/>
          <w:szCs w:val="22"/>
          <w:lang w:val="en-AU"/>
        </w:rPr>
        <w:t xml:space="preserve"> 7-year </w:t>
      </w:r>
      <w:r w:rsidR="00E75560">
        <w:rPr>
          <w:sz w:val="22"/>
          <w:szCs w:val="22"/>
          <w:lang w:val="en-AU"/>
        </w:rPr>
        <w:t xml:space="preserve">to 10-year </w:t>
      </w:r>
      <w:r w:rsidRPr="00B75C49">
        <w:rPr>
          <w:sz w:val="22"/>
          <w:szCs w:val="22"/>
          <w:lang w:val="en-AU"/>
        </w:rPr>
        <w:t>expiry of currency of podiatric therapeutics programs, similar to recognition of prior learning policies adopted by many education providers.  This would allow experience to also be taken into consideration when determining currency of advanced standing</w:t>
      </w:r>
    </w:p>
    <w:p w:rsidR="00E823DB" w:rsidRDefault="00E823DB" w:rsidP="00D72723">
      <w:pPr>
        <w:pStyle w:val="ListParagraph"/>
        <w:numPr>
          <w:ilvl w:val="0"/>
          <w:numId w:val="3"/>
        </w:numPr>
        <w:jc w:val="both"/>
        <w:rPr>
          <w:sz w:val="22"/>
          <w:szCs w:val="22"/>
          <w:lang w:val="en-AU"/>
        </w:rPr>
        <w:sectPr w:rsidR="00E823DB" w:rsidSect="007B6CB4">
          <w:headerReference w:type="default" r:id="rId9"/>
          <w:footerReference w:type="default" r:id="rId10"/>
          <w:pgSz w:w="11900" w:h="16840"/>
          <w:pgMar w:top="1440" w:right="1440" w:bottom="1440" w:left="1440" w:header="708" w:footer="708" w:gutter="0"/>
          <w:cols w:space="708"/>
        </w:sectPr>
      </w:pPr>
      <w:r>
        <w:rPr>
          <w:sz w:val="22"/>
          <w:szCs w:val="22"/>
          <w:lang w:val="en-AU"/>
        </w:rPr>
        <w:t xml:space="preserve">For the supervised practice, there is no definition of what an ‘attending physician’ is; does this need to be a medical practitioner or a podiatrist with an endorsement with ESM, or can the supervised session be with a practitioner with general podiatry registration with no endorsement, or a pharmacist (as described in the pharmacy rotation in Appendix 2)?  </w:t>
      </w:r>
      <w:r w:rsidR="00E75560">
        <w:rPr>
          <w:sz w:val="22"/>
          <w:szCs w:val="22"/>
          <w:lang w:val="en-AU"/>
        </w:rPr>
        <w:t>Given the current emphasis on workforce and identifying and addressing any perceived barriers to workforce reform, ANZP</w:t>
      </w:r>
      <w:r w:rsidR="00D72723">
        <w:rPr>
          <w:sz w:val="22"/>
          <w:szCs w:val="22"/>
          <w:lang w:val="en-AU"/>
        </w:rPr>
        <w:t xml:space="preserve">AC is keen to ensure that any applicant has reasonable access to suitably qualified supervisor and suggests the Board maintain a database or other such mechanism of such persons. </w:t>
      </w:r>
    </w:p>
    <w:p w:rsidR="00BC166B" w:rsidRPr="00EE25C7" w:rsidRDefault="00BC166B" w:rsidP="00BC166B">
      <w:pPr>
        <w:jc w:val="both"/>
        <w:rPr>
          <w:sz w:val="22"/>
          <w:szCs w:val="22"/>
          <w:lang w:val="en-AU"/>
        </w:rPr>
      </w:pPr>
      <w:r w:rsidRPr="00EE25C7">
        <w:rPr>
          <w:b/>
          <w:sz w:val="22"/>
          <w:szCs w:val="22"/>
          <w:lang w:val="en-AU"/>
        </w:rPr>
        <w:lastRenderedPageBreak/>
        <w:t xml:space="preserve">Specific Comments – </w:t>
      </w:r>
      <w:r>
        <w:rPr>
          <w:b/>
          <w:sz w:val="22"/>
          <w:szCs w:val="22"/>
          <w:lang w:val="en-AU"/>
        </w:rPr>
        <w:t>National Podiatry Scheduled Medicines List</w:t>
      </w:r>
    </w:p>
    <w:p w:rsidR="00BC166B" w:rsidRPr="004E68FB" w:rsidRDefault="00BC166B" w:rsidP="00BC166B">
      <w:pPr>
        <w:jc w:val="both"/>
        <w:rPr>
          <w:sz w:val="22"/>
          <w:szCs w:val="22"/>
          <w:lang w:val="en-AU"/>
        </w:rPr>
      </w:pPr>
    </w:p>
    <w:p w:rsidR="00BC166B" w:rsidRDefault="00BC166B" w:rsidP="00BC166B">
      <w:pPr>
        <w:jc w:val="both"/>
        <w:rPr>
          <w:sz w:val="22"/>
          <w:szCs w:val="22"/>
          <w:lang w:val="en-AU"/>
        </w:rPr>
      </w:pPr>
      <w:r>
        <w:rPr>
          <w:sz w:val="22"/>
          <w:szCs w:val="22"/>
          <w:lang w:val="en-AU"/>
        </w:rPr>
        <w:t xml:space="preserve">There have been a variety of revisions to this list that negatively impact the scope of therapeutics practice for current and future endorsed prescribers. </w:t>
      </w:r>
      <w:r w:rsidR="00C60E13">
        <w:rPr>
          <w:sz w:val="22"/>
          <w:szCs w:val="22"/>
          <w:lang w:val="en-AU"/>
        </w:rPr>
        <w:t>ANZPAC would like to understand the</w:t>
      </w:r>
      <w:r>
        <w:rPr>
          <w:sz w:val="22"/>
          <w:szCs w:val="22"/>
          <w:lang w:val="en-AU"/>
        </w:rPr>
        <w:t xml:space="preserve"> rationale for these changes.  These include:</w:t>
      </w:r>
    </w:p>
    <w:p w:rsidR="00BC166B" w:rsidRDefault="00BC166B" w:rsidP="00A57D6B">
      <w:pPr>
        <w:jc w:val="center"/>
        <w:rPr>
          <w:sz w:val="22"/>
          <w:szCs w:val="22"/>
          <w:lang w:val="en-AU"/>
        </w:rPr>
      </w:pPr>
    </w:p>
    <w:p w:rsidR="00BC166B" w:rsidRDefault="00BC166B" w:rsidP="00BC166B">
      <w:pPr>
        <w:pStyle w:val="ListParagraph"/>
        <w:numPr>
          <w:ilvl w:val="0"/>
          <w:numId w:val="3"/>
        </w:numPr>
        <w:jc w:val="both"/>
        <w:rPr>
          <w:sz w:val="22"/>
          <w:szCs w:val="22"/>
          <w:lang w:val="en-AU"/>
        </w:rPr>
      </w:pPr>
      <w:r>
        <w:rPr>
          <w:sz w:val="22"/>
          <w:szCs w:val="22"/>
          <w:lang w:val="en-AU"/>
        </w:rPr>
        <w:t xml:space="preserve">Increased restriction in the use of codeine to only where it is in combination with another </w:t>
      </w:r>
      <w:r w:rsidR="00E251B9">
        <w:rPr>
          <w:sz w:val="22"/>
          <w:szCs w:val="22"/>
          <w:lang w:val="en-AU"/>
        </w:rPr>
        <w:t>medicine</w:t>
      </w:r>
      <w:r>
        <w:rPr>
          <w:sz w:val="22"/>
          <w:szCs w:val="22"/>
          <w:lang w:val="en-AU"/>
        </w:rPr>
        <w:t>.</w:t>
      </w:r>
    </w:p>
    <w:p w:rsidR="00BC166B" w:rsidRDefault="00BC166B" w:rsidP="00BC166B">
      <w:pPr>
        <w:pStyle w:val="ListParagraph"/>
        <w:numPr>
          <w:ilvl w:val="0"/>
          <w:numId w:val="3"/>
        </w:numPr>
        <w:jc w:val="both"/>
        <w:rPr>
          <w:sz w:val="22"/>
          <w:szCs w:val="22"/>
          <w:lang w:val="en-AU"/>
        </w:rPr>
      </w:pPr>
      <w:r>
        <w:rPr>
          <w:sz w:val="22"/>
          <w:szCs w:val="22"/>
          <w:lang w:val="en-AU"/>
        </w:rPr>
        <w:t xml:space="preserve">A troubling restriction in the indications for use of </w:t>
      </w:r>
      <w:proofErr w:type="spellStart"/>
      <w:r>
        <w:rPr>
          <w:sz w:val="22"/>
          <w:szCs w:val="22"/>
          <w:lang w:val="en-AU"/>
        </w:rPr>
        <w:t>injectable</w:t>
      </w:r>
      <w:proofErr w:type="spellEnd"/>
      <w:r>
        <w:rPr>
          <w:sz w:val="22"/>
          <w:szCs w:val="22"/>
          <w:lang w:val="en-AU"/>
        </w:rPr>
        <w:t xml:space="preserve"> corticosteroids to a defined anatomical area, namely the “foot”.  This is perhaps the first time the Board has ever defined any aspect of podiatric practice to just “the foot”.  This is concerning as this introduces a legal “grey zone” in terms of treatment via injections of the structures around the ankle, and more proximal.  By way of alternative, in Queensland drug legislation there is a preference to highlight restrictions like this without mentioning anatomy, and usually states “for podiatric conditions”.  It should be considered important to strike this reference to a defined anatomical area as it may negatively influence into other areas of podiatric care (for example, dry needling, acupuncture and mechanical and physical therapies for conditions proximal to the foot).</w:t>
      </w:r>
    </w:p>
    <w:p w:rsidR="00BC166B" w:rsidRDefault="00BC166B" w:rsidP="00BC166B">
      <w:pPr>
        <w:pStyle w:val="ListParagraph"/>
        <w:numPr>
          <w:ilvl w:val="0"/>
          <w:numId w:val="3"/>
        </w:numPr>
        <w:jc w:val="both"/>
        <w:rPr>
          <w:sz w:val="22"/>
          <w:szCs w:val="22"/>
          <w:lang w:val="en-AU"/>
        </w:rPr>
      </w:pPr>
      <w:r>
        <w:rPr>
          <w:sz w:val="22"/>
          <w:szCs w:val="22"/>
          <w:lang w:val="en-AU"/>
        </w:rPr>
        <w:t xml:space="preserve">Removal of access to </w:t>
      </w:r>
      <w:proofErr w:type="spellStart"/>
      <w:r>
        <w:rPr>
          <w:sz w:val="22"/>
          <w:szCs w:val="22"/>
          <w:lang w:val="en-AU"/>
        </w:rPr>
        <w:t>lorazepam</w:t>
      </w:r>
      <w:proofErr w:type="spellEnd"/>
      <w:r>
        <w:rPr>
          <w:sz w:val="22"/>
          <w:szCs w:val="22"/>
          <w:lang w:val="en-AU"/>
        </w:rPr>
        <w:t xml:space="preserve"> for endorsed podiatrists and now restricted to podiatric surgeons only.  </w:t>
      </w:r>
      <w:r w:rsidR="00E251B9">
        <w:rPr>
          <w:sz w:val="22"/>
          <w:szCs w:val="22"/>
          <w:lang w:val="en-AU"/>
        </w:rPr>
        <w:t>The</w:t>
      </w:r>
      <w:r>
        <w:rPr>
          <w:sz w:val="22"/>
          <w:szCs w:val="22"/>
          <w:lang w:val="en-AU"/>
        </w:rPr>
        <w:t xml:space="preserve"> rationale for this removal of access</w:t>
      </w:r>
      <w:r w:rsidR="00E251B9">
        <w:rPr>
          <w:sz w:val="22"/>
          <w:szCs w:val="22"/>
          <w:lang w:val="en-AU"/>
        </w:rPr>
        <w:t xml:space="preserve"> would be helpful to stakeholders.</w:t>
      </w:r>
    </w:p>
    <w:p w:rsidR="00BC166B" w:rsidRDefault="00253CB0" w:rsidP="00BC166B">
      <w:pPr>
        <w:pStyle w:val="ListParagraph"/>
        <w:numPr>
          <w:ilvl w:val="0"/>
          <w:numId w:val="3"/>
        </w:numPr>
        <w:jc w:val="both"/>
        <w:rPr>
          <w:sz w:val="22"/>
          <w:szCs w:val="22"/>
          <w:lang w:val="en-AU"/>
        </w:rPr>
      </w:pPr>
      <w:r>
        <w:rPr>
          <w:sz w:val="22"/>
          <w:szCs w:val="22"/>
          <w:lang w:val="en-AU"/>
        </w:rPr>
        <w:t xml:space="preserve">Indications for the use of </w:t>
      </w:r>
      <w:proofErr w:type="spellStart"/>
      <w:r>
        <w:rPr>
          <w:sz w:val="22"/>
          <w:szCs w:val="22"/>
          <w:lang w:val="en-AU"/>
        </w:rPr>
        <w:t>methoxyflurane</w:t>
      </w:r>
      <w:proofErr w:type="spellEnd"/>
      <w:r>
        <w:rPr>
          <w:sz w:val="22"/>
          <w:szCs w:val="22"/>
          <w:lang w:val="en-AU"/>
        </w:rPr>
        <w:t xml:space="preserve"> are more restrictive.  The indications often are simply stated as “pain” (such as post-acute injury, or procedural related).</w:t>
      </w:r>
      <w:r w:rsidR="000F7687">
        <w:rPr>
          <w:sz w:val="22"/>
          <w:szCs w:val="22"/>
          <w:lang w:val="en-AU"/>
        </w:rPr>
        <w:t xml:space="preserve">  ANZPAC suggests the Board reviews the evidence on adverse reactions with this drug, as we believe that not a single major adverse effect has been reported in Australia after about 15 million administrations.  Similarly, could “appropriate resuscitation facilities” be defined?</w:t>
      </w:r>
      <w:bookmarkStart w:id="0" w:name="_GoBack"/>
      <w:bookmarkEnd w:id="0"/>
      <w:r w:rsidR="000F7687">
        <w:rPr>
          <w:sz w:val="22"/>
          <w:szCs w:val="22"/>
          <w:lang w:val="en-AU"/>
        </w:rPr>
        <w:t xml:space="preserve"> </w:t>
      </w:r>
    </w:p>
    <w:p w:rsidR="00253CB0" w:rsidRDefault="00253CB0" w:rsidP="00253CB0">
      <w:pPr>
        <w:jc w:val="both"/>
        <w:rPr>
          <w:sz w:val="22"/>
          <w:szCs w:val="22"/>
          <w:lang w:val="en-AU"/>
        </w:rPr>
      </w:pPr>
    </w:p>
    <w:p w:rsidR="00BC166B" w:rsidRDefault="00253CB0" w:rsidP="00253CB0">
      <w:pPr>
        <w:jc w:val="both"/>
        <w:rPr>
          <w:sz w:val="22"/>
          <w:szCs w:val="22"/>
          <w:lang w:val="en-AU"/>
        </w:rPr>
      </w:pPr>
      <w:r>
        <w:rPr>
          <w:sz w:val="22"/>
          <w:szCs w:val="22"/>
          <w:lang w:val="en-AU"/>
        </w:rPr>
        <w:t xml:space="preserve">In general, </w:t>
      </w:r>
      <w:r w:rsidR="00BC166B" w:rsidRPr="00253CB0">
        <w:rPr>
          <w:sz w:val="22"/>
          <w:szCs w:val="22"/>
          <w:lang w:val="en-AU"/>
        </w:rPr>
        <w:t>ANZPAC would like to see a shift in language towards appropriate and competent use of medicines</w:t>
      </w:r>
      <w:r>
        <w:rPr>
          <w:sz w:val="22"/>
          <w:szCs w:val="22"/>
          <w:lang w:val="en-AU"/>
        </w:rPr>
        <w:t>.</w:t>
      </w:r>
      <w:r w:rsidR="000F6C21">
        <w:rPr>
          <w:sz w:val="22"/>
          <w:szCs w:val="22"/>
          <w:lang w:val="en-AU"/>
        </w:rPr>
        <w:t xml:space="preserve">  </w:t>
      </w:r>
    </w:p>
    <w:p w:rsidR="00253CB0" w:rsidRDefault="00253CB0" w:rsidP="00253CB0">
      <w:pPr>
        <w:jc w:val="both"/>
        <w:rPr>
          <w:sz w:val="22"/>
          <w:szCs w:val="22"/>
          <w:lang w:val="en-AU"/>
        </w:rPr>
      </w:pPr>
    </w:p>
    <w:p w:rsidR="00253CB0" w:rsidRDefault="00253CB0" w:rsidP="00253CB0">
      <w:pPr>
        <w:jc w:val="both"/>
        <w:rPr>
          <w:sz w:val="22"/>
          <w:szCs w:val="22"/>
        </w:rPr>
      </w:pPr>
      <w:r w:rsidRPr="002370A9">
        <w:rPr>
          <w:sz w:val="22"/>
          <w:szCs w:val="22"/>
        </w:rPr>
        <w:t>Should you require any additional information</w:t>
      </w:r>
      <w:r>
        <w:rPr>
          <w:sz w:val="22"/>
          <w:szCs w:val="22"/>
        </w:rPr>
        <w:t xml:space="preserve"> related to this submission, or would like to discuss it further,</w:t>
      </w:r>
      <w:r w:rsidRPr="002370A9">
        <w:rPr>
          <w:sz w:val="22"/>
          <w:szCs w:val="22"/>
        </w:rPr>
        <w:t xml:space="preserve"> please do not hesitate to contact </w:t>
      </w:r>
      <w:r>
        <w:rPr>
          <w:sz w:val="22"/>
          <w:szCs w:val="22"/>
        </w:rPr>
        <w:t xml:space="preserve">the Executive Officer, </w:t>
      </w:r>
      <w:r w:rsidR="002123B4">
        <w:rPr>
          <w:sz w:val="22"/>
          <w:szCs w:val="22"/>
        </w:rPr>
        <w:t xml:space="preserve">Rachel Portelli, on </w:t>
      </w:r>
      <w:r w:rsidR="002123B4" w:rsidRPr="002123B4">
        <w:rPr>
          <w:sz w:val="22"/>
          <w:szCs w:val="22"/>
          <w:highlight w:val="black"/>
        </w:rPr>
        <w:t>(content redacted)</w:t>
      </w:r>
      <w:r>
        <w:rPr>
          <w:sz w:val="22"/>
          <w:szCs w:val="22"/>
        </w:rPr>
        <w:t xml:space="preserve"> or at </w:t>
      </w:r>
      <w:r w:rsidR="002123B4" w:rsidRPr="002123B4">
        <w:rPr>
          <w:sz w:val="22"/>
          <w:szCs w:val="22"/>
          <w:highlight w:val="black"/>
        </w:rPr>
        <w:t>(content redacted).</w:t>
      </w:r>
    </w:p>
    <w:p w:rsidR="00253CB0" w:rsidRDefault="00253CB0" w:rsidP="00253CB0">
      <w:pPr>
        <w:jc w:val="both"/>
        <w:rPr>
          <w:sz w:val="22"/>
          <w:szCs w:val="22"/>
        </w:rPr>
      </w:pPr>
    </w:p>
    <w:p w:rsidR="00253CB0" w:rsidRDefault="00253CB0" w:rsidP="00253CB0">
      <w:pPr>
        <w:jc w:val="both"/>
        <w:rPr>
          <w:sz w:val="22"/>
          <w:szCs w:val="22"/>
        </w:rPr>
      </w:pPr>
      <w:r w:rsidRPr="002370A9">
        <w:rPr>
          <w:sz w:val="22"/>
          <w:szCs w:val="22"/>
        </w:rPr>
        <w:t>Yours sincerely</w:t>
      </w:r>
    </w:p>
    <w:p w:rsidR="00253CB0" w:rsidRPr="002370A9" w:rsidRDefault="00253CB0" w:rsidP="00253CB0">
      <w:pPr>
        <w:jc w:val="both"/>
        <w:rPr>
          <w:sz w:val="22"/>
          <w:szCs w:val="22"/>
        </w:rPr>
      </w:pPr>
    </w:p>
    <w:p w:rsidR="00253CB0" w:rsidRDefault="00253CB0" w:rsidP="00253CB0">
      <w:pPr>
        <w:pStyle w:val="ListParagraph"/>
        <w:ind w:left="360"/>
        <w:jc w:val="both"/>
        <w:rPr>
          <w:sz w:val="22"/>
          <w:szCs w:val="22"/>
        </w:rPr>
      </w:pPr>
      <w:r>
        <w:rPr>
          <w:noProof/>
          <w:lang w:val="en-AU" w:eastAsia="en-AU"/>
        </w:rPr>
        <w:drawing>
          <wp:inline distT="0" distB="0" distL="0" distR="0">
            <wp:extent cx="1422400" cy="3638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2400" cy="363855"/>
                    </a:xfrm>
                    <a:prstGeom prst="rect">
                      <a:avLst/>
                    </a:prstGeom>
                    <a:noFill/>
                    <a:ln>
                      <a:noFill/>
                    </a:ln>
                  </pic:spPr>
                </pic:pic>
              </a:graphicData>
            </a:graphic>
          </wp:inline>
        </w:drawing>
      </w:r>
    </w:p>
    <w:p w:rsidR="00253CB0" w:rsidRDefault="00253CB0" w:rsidP="00253CB0">
      <w:pPr>
        <w:pStyle w:val="ListParagraph"/>
        <w:ind w:left="360"/>
        <w:jc w:val="both"/>
        <w:rPr>
          <w:sz w:val="22"/>
          <w:szCs w:val="22"/>
        </w:rPr>
      </w:pPr>
    </w:p>
    <w:p w:rsidR="00253CB0" w:rsidRPr="002370A9" w:rsidRDefault="00253CB0" w:rsidP="00253CB0">
      <w:pPr>
        <w:jc w:val="both"/>
        <w:rPr>
          <w:sz w:val="22"/>
          <w:szCs w:val="22"/>
        </w:rPr>
      </w:pPr>
      <w:r w:rsidRPr="002370A9">
        <w:rPr>
          <w:sz w:val="22"/>
          <w:szCs w:val="22"/>
        </w:rPr>
        <w:t xml:space="preserve">Dr Rolf </w:t>
      </w:r>
      <w:proofErr w:type="spellStart"/>
      <w:r w:rsidRPr="002370A9">
        <w:rPr>
          <w:sz w:val="22"/>
          <w:szCs w:val="22"/>
        </w:rPr>
        <w:t>Sc</w:t>
      </w:r>
      <w:r>
        <w:rPr>
          <w:sz w:val="22"/>
          <w:szCs w:val="22"/>
        </w:rPr>
        <w:t>h</w:t>
      </w:r>
      <w:r w:rsidRPr="002370A9">
        <w:rPr>
          <w:sz w:val="22"/>
          <w:szCs w:val="22"/>
        </w:rPr>
        <w:t>arfbillig</w:t>
      </w:r>
      <w:proofErr w:type="spellEnd"/>
    </w:p>
    <w:p w:rsidR="00253CB0" w:rsidRPr="002370A9" w:rsidRDefault="00253CB0" w:rsidP="00253CB0">
      <w:pPr>
        <w:jc w:val="both"/>
        <w:rPr>
          <w:b/>
          <w:sz w:val="22"/>
          <w:szCs w:val="22"/>
        </w:rPr>
      </w:pPr>
      <w:r w:rsidRPr="002370A9">
        <w:rPr>
          <w:b/>
          <w:sz w:val="22"/>
          <w:szCs w:val="22"/>
        </w:rPr>
        <w:t>Chair</w:t>
      </w:r>
    </w:p>
    <w:p w:rsidR="00253CB0" w:rsidRPr="008B5E35" w:rsidRDefault="00253CB0" w:rsidP="00253CB0">
      <w:pPr>
        <w:jc w:val="both"/>
      </w:pPr>
      <w:r w:rsidRPr="002370A9">
        <w:rPr>
          <w:b/>
          <w:sz w:val="22"/>
          <w:szCs w:val="22"/>
        </w:rPr>
        <w:t>Australian and New Zealand Podiatry Accreditation Council</w:t>
      </w:r>
    </w:p>
    <w:p w:rsidR="00253CB0" w:rsidRPr="00253CB0" w:rsidRDefault="00253CB0" w:rsidP="00253CB0">
      <w:pPr>
        <w:jc w:val="both"/>
        <w:rPr>
          <w:sz w:val="22"/>
          <w:szCs w:val="22"/>
          <w:lang w:val="en-AU"/>
        </w:rPr>
      </w:pPr>
    </w:p>
    <w:p w:rsidR="002D456B" w:rsidRPr="002D456B" w:rsidRDefault="002D456B" w:rsidP="002D456B">
      <w:pPr>
        <w:jc w:val="both"/>
        <w:rPr>
          <w:sz w:val="22"/>
          <w:szCs w:val="22"/>
          <w:lang w:val="en-AU"/>
        </w:rPr>
      </w:pPr>
    </w:p>
    <w:p w:rsidR="00272401" w:rsidRDefault="00272401" w:rsidP="00214DA1">
      <w:pPr>
        <w:jc w:val="both"/>
        <w:rPr>
          <w:sz w:val="22"/>
          <w:szCs w:val="22"/>
          <w:lang w:val="en-AU"/>
        </w:rPr>
      </w:pPr>
    </w:p>
    <w:sectPr w:rsidR="00272401" w:rsidSect="007B6CB4">
      <w:headerReference w:type="even" r:id="rId12"/>
      <w:headerReference w:type="default" r:id="rId13"/>
      <w:footerReference w:type="default" r:id="rId14"/>
      <w:headerReference w:type="first" r:id="rId15"/>
      <w:pgSz w:w="11900" w:h="16840"/>
      <w:pgMar w:top="1440" w:right="1440" w:bottom="1440" w:left="144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62F62" w15:done="0"/>
  <w15:commentEx w15:paraId="6B87FB97" w15:done="0"/>
  <w15:commentEx w15:paraId="2574832F" w15:done="0"/>
  <w15:commentEx w15:paraId="3162F418" w15:done="0"/>
  <w15:commentEx w15:paraId="28FF3955" w15:done="0"/>
  <w15:commentEx w15:paraId="4855108A" w15:done="0"/>
  <w15:commentEx w15:paraId="53CA043F" w15:done="0"/>
  <w15:commentEx w15:paraId="5CA0CD27" w15:done="0"/>
  <w15:commentEx w15:paraId="2A4B4910" w15:done="0"/>
  <w15:commentEx w15:paraId="41338B92" w15:done="0"/>
  <w15:commentEx w15:paraId="75BEEA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60" w:rsidRDefault="00E75560">
      <w:r>
        <w:separator/>
      </w:r>
    </w:p>
  </w:endnote>
  <w:endnote w:type="continuationSeparator" w:id="0">
    <w:p w:rsidR="00E75560" w:rsidRDefault="00E75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60" w:rsidRPr="00530FA9" w:rsidRDefault="00B44DA7" w:rsidP="00530FA9">
    <w:pPr>
      <w:pStyle w:val="Footer"/>
      <w:framePr w:w="121" w:wrap="around" w:vAnchor="text" w:hAnchor="margin" w:xAlign="right" w:y="8"/>
      <w:rPr>
        <w:rStyle w:val="PageNumber"/>
        <w:rFonts w:ascii="Arial" w:hAnsi="Arial" w:cs="Arial"/>
        <w:sz w:val="16"/>
        <w:szCs w:val="16"/>
      </w:rPr>
    </w:pPr>
    <w:r w:rsidRPr="00530FA9">
      <w:rPr>
        <w:rStyle w:val="PageNumber"/>
        <w:rFonts w:ascii="Arial" w:hAnsi="Arial" w:cs="Arial"/>
        <w:sz w:val="16"/>
        <w:szCs w:val="16"/>
      </w:rPr>
      <w:fldChar w:fldCharType="begin"/>
    </w:r>
    <w:r w:rsidR="00E75560" w:rsidRPr="00530FA9">
      <w:rPr>
        <w:rStyle w:val="PageNumber"/>
        <w:rFonts w:ascii="Arial" w:hAnsi="Arial" w:cs="Arial"/>
        <w:sz w:val="16"/>
        <w:szCs w:val="16"/>
      </w:rPr>
      <w:instrText xml:space="preserve">PAGE  </w:instrText>
    </w:r>
    <w:r w:rsidRPr="00530FA9">
      <w:rPr>
        <w:rStyle w:val="PageNumber"/>
        <w:rFonts w:ascii="Arial" w:hAnsi="Arial" w:cs="Arial"/>
        <w:sz w:val="16"/>
        <w:szCs w:val="16"/>
      </w:rPr>
      <w:fldChar w:fldCharType="separate"/>
    </w:r>
    <w:r w:rsidR="002123B4">
      <w:rPr>
        <w:rStyle w:val="PageNumber"/>
        <w:rFonts w:ascii="Arial" w:hAnsi="Arial" w:cs="Arial"/>
        <w:noProof/>
        <w:sz w:val="16"/>
        <w:szCs w:val="16"/>
      </w:rPr>
      <w:t>1</w:t>
    </w:r>
    <w:r w:rsidRPr="00530FA9">
      <w:rPr>
        <w:rStyle w:val="PageNumber"/>
        <w:rFonts w:ascii="Arial" w:hAnsi="Arial" w:cs="Arial"/>
        <w:sz w:val="16"/>
        <w:szCs w:val="16"/>
      </w:rPr>
      <w:fldChar w:fldCharType="end"/>
    </w:r>
  </w:p>
  <w:p w:rsidR="00F6390C" w:rsidRPr="00DD646A" w:rsidRDefault="00F6390C" w:rsidP="00F6390C">
    <w:pPr>
      <w:autoSpaceDE w:val="0"/>
      <w:autoSpaceDN w:val="0"/>
      <w:adjustRightInd w:val="0"/>
      <w:jc w:val="center"/>
      <w:rPr>
        <w:rFonts w:ascii="Helvetica" w:hAnsi="Helvetica" w:cs="Helvetica"/>
        <w:color w:val="3DBB2C"/>
        <w:sz w:val="16"/>
        <w:u w:val="single"/>
      </w:rPr>
    </w:pPr>
    <w:r w:rsidRPr="00DD646A">
      <w:rPr>
        <w:rFonts w:ascii="Helvetica" w:hAnsi="Helvetica" w:cs="Helvetica"/>
        <w:color w:val="3DBB2C"/>
        <w:sz w:val="16"/>
        <w:u w:val="single"/>
      </w:rPr>
      <w:t>_____________________________________________________________________________________________</w:t>
    </w:r>
  </w:p>
  <w:p w:rsidR="00F6390C" w:rsidRPr="001464B1" w:rsidRDefault="00F6390C" w:rsidP="00F6390C">
    <w:pPr>
      <w:autoSpaceDE w:val="0"/>
      <w:autoSpaceDN w:val="0"/>
      <w:adjustRightInd w:val="0"/>
      <w:jc w:val="center"/>
      <w:rPr>
        <w:rFonts w:ascii="Helvetica" w:hAnsi="Helvetica" w:cs="Helvetica"/>
        <w:color w:val="0066FF"/>
        <w:sz w:val="16"/>
        <w:u w:val="single"/>
      </w:rPr>
    </w:pPr>
  </w:p>
  <w:p w:rsidR="00F6390C" w:rsidRPr="00932ABD" w:rsidRDefault="00F6390C" w:rsidP="00F6390C">
    <w:pPr>
      <w:autoSpaceDE w:val="0"/>
      <w:autoSpaceDN w:val="0"/>
      <w:adjustRightInd w:val="0"/>
      <w:jc w:val="center"/>
      <w:rPr>
        <w:rFonts w:ascii="Helvetica" w:hAnsi="Helvetica" w:cs="Helvetica"/>
        <w:color w:val="595959" w:themeColor="text1" w:themeTint="A6"/>
        <w:sz w:val="16"/>
      </w:rPr>
    </w:pPr>
    <w:r>
      <w:rPr>
        <w:rFonts w:ascii="Helvetica" w:hAnsi="Helvetica" w:cs="Helvetica"/>
        <w:color w:val="595959" w:themeColor="text1" w:themeTint="A6"/>
        <w:sz w:val="16"/>
      </w:rPr>
      <w:t>12-16 Parker Street, Williamstown VIC 3016</w:t>
    </w:r>
    <w:r w:rsidRPr="00932ABD">
      <w:rPr>
        <w:rFonts w:ascii="Helvetica" w:hAnsi="Helvetica" w:cs="Helvetica"/>
        <w:color w:val="595959" w:themeColor="text1" w:themeTint="A6"/>
        <w:sz w:val="16"/>
      </w:rPr>
      <w:t xml:space="preserve"> AUSTRALIA</w:t>
    </w:r>
  </w:p>
  <w:p w:rsidR="00F6390C" w:rsidRPr="001464B1" w:rsidRDefault="00F6390C" w:rsidP="00F6390C">
    <w:pPr>
      <w:autoSpaceDE w:val="0"/>
      <w:autoSpaceDN w:val="0"/>
      <w:adjustRightInd w:val="0"/>
      <w:jc w:val="center"/>
      <w:rPr>
        <w:rFonts w:ascii="Helvetica" w:hAnsi="Helvetica"/>
        <w:color w:val="666666"/>
        <w:sz w:val="16"/>
      </w:rPr>
    </w:pPr>
    <w:r w:rsidRPr="00DD646A">
      <w:rPr>
        <w:rFonts w:ascii="Helvetica" w:hAnsi="Helvetica" w:cs="Helvetica"/>
        <w:b/>
        <w:bCs/>
        <w:color w:val="3DBB2C"/>
        <w:sz w:val="16"/>
      </w:rPr>
      <w:t xml:space="preserve">T </w:t>
    </w:r>
    <w:r>
      <w:rPr>
        <w:rFonts w:ascii="Helvetica" w:hAnsi="Helvetica"/>
        <w:color w:val="666666"/>
        <w:sz w:val="16"/>
      </w:rPr>
      <w:t>1300 267 687 or +61 3 8080 2953</w:t>
    </w:r>
    <w:r w:rsidRPr="00E05168">
      <w:rPr>
        <w:rFonts w:ascii="Helvetica" w:hAnsi="Helvetica"/>
        <w:color w:val="2EB800"/>
        <w:sz w:val="16"/>
      </w:rPr>
      <w:t xml:space="preserve"> </w:t>
    </w:r>
    <w:r w:rsidRPr="00DD646A">
      <w:rPr>
        <w:rFonts w:ascii="Helvetica" w:hAnsi="Helvetica"/>
        <w:b/>
        <w:color w:val="3DBB2C"/>
        <w:sz w:val="16"/>
      </w:rPr>
      <w:t>F</w:t>
    </w:r>
    <w:r>
      <w:rPr>
        <w:rFonts w:ascii="Helvetica" w:hAnsi="Helvetica"/>
        <w:color w:val="666666"/>
        <w:sz w:val="16"/>
      </w:rPr>
      <w:t xml:space="preserve"> +61 3 8080 2917</w:t>
    </w:r>
    <w:r>
      <w:t xml:space="preserve"> </w:t>
    </w:r>
  </w:p>
  <w:p w:rsidR="00F6390C" w:rsidRPr="008B5E35" w:rsidRDefault="00F6390C" w:rsidP="00F6390C">
    <w:pPr>
      <w:autoSpaceDE w:val="0"/>
      <w:autoSpaceDN w:val="0"/>
      <w:adjustRightInd w:val="0"/>
      <w:jc w:val="center"/>
      <w:rPr>
        <w:rFonts w:ascii="Helvetica" w:hAnsi="Helvetica" w:cs="Helvetica"/>
        <w:color w:val="595959" w:themeColor="text1" w:themeTint="A6"/>
        <w:sz w:val="16"/>
      </w:rPr>
    </w:pPr>
    <w:r w:rsidRPr="00DD646A">
      <w:rPr>
        <w:rFonts w:ascii="Helvetica" w:hAnsi="Helvetica" w:cs="Helvetica"/>
        <w:b/>
        <w:bCs/>
        <w:color w:val="3DBB2C"/>
        <w:sz w:val="16"/>
      </w:rPr>
      <w:t>W</w:t>
    </w:r>
    <w:r w:rsidRPr="00E05168">
      <w:rPr>
        <w:rFonts w:ascii="Helvetica" w:hAnsi="Helvetica" w:cs="Helvetica"/>
        <w:color w:val="2EB800"/>
        <w:sz w:val="16"/>
      </w:rPr>
      <w:t> </w:t>
    </w:r>
    <w:r w:rsidRPr="00841895">
      <w:rPr>
        <w:rFonts w:ascii="Helvetica" w:hAnsi="Helvetica" w:cs="Helvetica"/>
        <w:color w:val="666666"/>
        <w:sz w:val="16"/>
      </w:rPr>
      <w:t>www.anzpac.org.au</w:t>
    </w:r>
    <w:r w:rsidRPr="00DD646A">
      <w:rPr>
        <w:rFonts w:ascii="Helvetica" w:hAnsi="Helvetica" w:cs="Helvetica"/>
        <w:color w:val="3DBB2C"/>
        <w:sz w:val="16"/>
      </w:rPr>
      <w:t> </w:t>
    </w:r>
    <w:r w:rsidRPr="00DD646A">
      <w:rPr>
        <w:rFonts w:ascii="Helvetica" w:hAnsi="Helvetica" w:cs="Helvetica"/>
        <w:b/>
        <w:bCs/>
        <w:color w:val="3DBB2C"/>
        <w:sz w:val="16"/>
      </w:rPr>
      <w:t>E</w:t>
    </w:r>
    <w:r w:rsidRPr="00E05168">
      <w:rPr>
        <w:rFonts w:ascii="Helvetica" w:hAnsi="Helvetica" w:cs="Helvetica"/>
        <w:b/>
        <w:bCs/>
        <w:color w:val="2EB800"/>
        <w:sz w:val="16"/>
      </w:rPr>
      <w:t xml:space="preserve"> </w:t>
    </w:r>
    <w:r>
      <w:rPr>
        <w:rFonts w:ascii="Helvetica" w:hAnsi="Helvetica" w:cs="Helvetica"/>
        <w:bCs/>
        <w:color w:val="595959" w:themeColor="text1" w:themeTint="A6"/>
        <w:sz w:val="16"/>
      </w:rPr>
      <w:t>admin@anzpac</w:t>
    </w:r>
    <w:r w:rsidRPr="00932ABD">
      <w:rPr>
        <w:rFonts w:ascii="Helvetica" w:hAnsi="Helvetica" w:cs="Helvetica"/>
        <w:bCs/>
        <w:color w:val="595959" w:themeColor="text1" w:themeTint="A6"/>
        <w:sz w:val="16"/>
      </w:rPr>
      <w:t>.</w:t>
    </w:r>
    <w:r>
      <w:rPr>
        <w:rFonts w:ascii="Helvetica" w:hAnsi="Helvetica" w:cs="Helvetica"/>
        <w:bCs/>
        <w:color w:val="595959" w:themeColor="text1" w:themeTint="A6"/>
        <w:sz w:val="16"/>
      </w:rPr>
      <w:t>org.</w:t>
    </w:r>
    <w:r w:rsidRPr="00932ABD">
      <w:rPr>
        <w:rFonts w:ascii="Helvetica" w:hAnsi="Helvetica" w:cs="Helvetica"/>
        <w:bCs/>
        <w:color w:val="595959" w:themeColor="text1" w:themeTint="A6"/>
        <w:sz w:val="16"/>
      </w:rPr>
      <w:t>au</w:t>
    </w:r>
  </w:p>
  <w:p w:rsidR="00E75560" w:rsidRPr="008B5E35" w:rsidRDefault="00E75560" w:rsidP="00F6390C">
    <w:pPr>
      <w:widowControl w:val="0"/>
      <w:autoSpaceDE w:val="0"/>
      <w:autoSpaceDN w:val="0"/>
      <w:adjustRightInd w:val="0"/>
      <w:ind w:right="360"/>
      <w:jc w:val="center"/>
      <w:rPr>
        <w:rFonts w:ascii="Helvetica" w:hAnsi="Helvetica" w:cs="Helvetica"/>
        <w:color w:val="595959" w:themeColor="text1" w:themeTint="A6"/>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2D" w:rsidRPr="00530FA9" w:rsidRDefault="00B44DA7" w:rsidP="00530FA9">
    <w:pPr>
      <w:pStyle w:val="Footer"/>
      <w:framePr w:w="121" w:wrap="around" w:vAnchor="text" w:hAnchor="margin" w:xAlign="right" w:y="8"/>
      <w:rPr>
        <w:rStyle w:val="PageNumber"/>
        <w:rFonts w:ascii="Arial" w:hAnsi="Arial" w:cs="Arial"/>
        <w:sz w:val="16"/>
        <w:szCs w:val="16"/>
      </w:rPr>
    </w:pPr>
    <w:r w:rsidRPr="00530FA9">
      <w:rPr>
        <w:rStyle w:val="PageNumber"/>
        <w:rFonts w:ascii="Arial" w:hAnsi="Arial" w:cs="Arial"/>
        <w:sz w:val="16"/>
        <w:szCs w:val="16"/>
      </w:rPr>
      <w:fldChar w:fldCharType="begin"/>
    </w:r>
    <w:r w:rsidR="00545B2D" w:rsidRPr="00530FA9">
      <w:rPr>
        <w:rStyle w:val="PageNumber"/>
        <w:rFonts w:ascii="Arial" w:hAnsi="Arial" w:cs="Arial"/>
        <w:sz w:val="16"/>
        <w:szCs w:val="16"/>
      </w:rPr>
      <w:instrText xml:space="preserve">PAGE  </w:instrText>
    </w:r>
    <w:r w:rsidRPr="00530FA9">
      <w:rPr>
        <w:rStyle w:val="PageNumber"/>
        <w:rFonts w:ascii="Arial" w:hAnsi="Arial" w:cs="Arial"/>
        <w:sz w:val="16"/>
        <w:szCs w:val="16"/>
      </w:rPr>
      <w:fldChar w:fldCharType="separate"/>
    </w:r>
    <w:r w:rsidR="002123B4">
      <w:rPr>
        <w:rStyle w:val="PageNumber"/>
        <w:rFonts w:ascii="Arial" w:hAnsi="Arial" w:cs="Arial"/>
        <w:noProof/>
        <w:sz w:val="16"/>
        <w:szCs w:val="16"/>
      </w:rPr>
      <w:t>2</w:t>
    </w:r>
    <w:r w:rsidRPr="00530FA9">
      <w:rPr>
        <w:rStyle w:val="PageNumber"/>
        <w:rFonts w:ascii="Arial" w:hAnsi="Arial" w:cs="Arial"/>
        <w:sz w:val="16"/>
        <w:szCs w:val="16"/>
      </w:rPr>
      <w:fldChar w:fldCharType="end"/>
    </w:r>
  </w:p>
  <w:p w:rsidR="00545B2D" w:rsidRPr="008B5E35" w:rsidRDefault="00545B2D" w:rsidP="00F6390C">
    <w:pPr>
      <w:widowControl w:val="0"/>
      <w:autoSpaceDE w:val="0"/>
      <w:autoSpaceDN w:val="0"/>
      <w:adjustRightInd w:val="0"/>
      <w:ind w:right="360"/>
      <w:jc w:val="center"/>
      <w:rPr>
        <w:rFonts w:ascii="Helvetica" w:hAnsi="Helvetica" w:cs="Helvetica"/>
        <w:color w:val="595959" w:themeColor="text1" w:themeTint="A6"/>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60" w:rsidRPr="00530FA9" w:rsidRDefault="00B44DA7" w:rsidP="00530FA9">
    <w:pPr>
      <w:pStyle w:val="Footer"/>
      <w:framePr w:w="121" w:wrap="around" w:vAnchor="text" w:hAnchor="margin" w:xAlign="right" w:y="8"/>
      <w:rPr>
        <w:rStyle w:val="PageNumber"/>
        <w:rFonts w:ascii="Arial" w:hAnsi="Arial" w:cs="Arial"/>
        <w:sz w:val="16"/>
        <w:szCs w:val="16"/>
      </w:rPr>
    </w:pPr>
    <w:r w:rsidRPr="00530FA9">
      <w:rPr>
        <w:rStyle w:val="PageNumber"/>
        <w:rFonts w:ascii="Arial" w:hAnsi="Arial" w:cs="Arial"/>
        <w:sz w:val="16"/>
        <w:szCs w:val="16"/>
      </w:rPr>
      <w:fldChar w:fldCharType="begin"/>
    </w:r>
    <w:r w:rsidR="00E75560" w:rsidRPr="00530FA9">
      <w:rPr>
        <w:rStyle w:val="PageNumber"/>
        <w:rFonts w:ascii="Arial" w:hAnsi="Arial" w:cs="Arial"/>
        <w:sz w:val="16"/>
        <w:szCs w:val="16"/>
      </w:rPr>
      <w:instrText xml:space="preserve">PAGE  </w:instrText>
    </w:r>
    <w:r w:rsidRPr="00530FA9">
      <w:rPr>
        <w:rStyle w:val="PageNumber"/>
        <w:rFonts w:ascii="Arial" w:hAnsi="Arial" w:cs="Arial"/>
        <w:sz w:val="16"/>
        <w:szCs w:val="16"/>
      </w:rPr>
      <w:fldChar w:fldCharType="separate"/>
    </w:r>
    <w:r w:rsidR="002123B4">
      <w:rPr>
        <w:rStyle w:val="PageNumber"/>
        <w:rFonts w:ascii="Arial" w:hAnsi="Arial" w:cs="Arial"/>
        <w:noProof/>
        <w:sz w:val="16"/>
        <w:szCs w:val="16"/>
      </w:rPr>
      <w:t>3</w:t>
    </w:r>
    <w:r w:rsidRPr="00530FA9">
      <w:rPr>
        <w:rStyle w:val="PageNumber"/>
        <w:rFonts w:ascii="Arial" w:hAnsi="Arial" w:cs="Arial"/>
        <w:sz w:val="16"/>
        <w:szCs w:val="16"/>
      </w:rPr>
      <w:fldChar w:fldCharType="end"/>
    </w:r>
  </w:p>
  <w:p w:rsidR="00E75560" w:rsidRPr="008B5E35" w:rsidRDefault="00E75560" w:rsidP="00530FA9">
    <w:pPr>
      <w:widowControl w:val="0"/>
      <w:autoSpaceDE w:val="0"/>
      <w:autoSpaceDN w:val="0"/>
      <w:adjustRightInd w:val="0"/>
      <w:ind w:right="360"/>
      <w:jc w:val="center"/>
      <w:rPr>
        <w:rFonts w:ascii="Helvetica" w:hAnsi="Helvetica" w:cs="Helvetica"/>
        <w:color w:val="595959" w:themeColor="text1" w:themeTint="A6"/>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60" w:rsidRDefault="00E75560">
      <w:r>
        <w:separator/>
      </w:r>
    </w:p>
  </w:footnote>
  <w:footnote w:type="continuationSeparator" w:id="0">
    <w:p w:rsidR="00E75560" w:rsidRDefault="00E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60" w:rsidRDefault="00F6390C" w:rsidP="008B1FED">
    <w:pPr>
      <w:pStyle w:val="Header"/>
      <w:ind w:right="-772"/>
      <w:jc w:val="right"/>
    </w:pPr>
    <w:r>
      <w:rPr>
        <w:noProof/>
        <w:lang w:val="en-AU" w:eastAsia="en-AU"/>
      </w:rPr>
      <w:drawing>
        <wp:inline distT="0" distB="0" distL="0" distR="0">
          <wp:extent cx="2552550" cy="1191087"/>
          <wp:effectExtent l="0" t="0" r="0" b="0"/>
          <wp:docPr id="3" name="Picture 0" descr="anzpac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pac_cmyk.pdf"/>
                  <pic:cNvPicPr/>
                </pic:nvPicPr>
                <pic:blipFill>
                  <a:blip r:embed="rId1"/>
                  <a:stretch>
                    <a:fillRect/>
                  </a:stretch>
                </pic:blipFill>
                <pic:spPr>
                  <a:xfrm>
                    <a:off x="0" y="0"/>
                    <a:ext cx="2556730" cy="1193038"/>
                  </a:xfrm>
                  <a:prstGeom prst="rect">
                    <a:avLst/>
                  </a:prstGeom>
                </pic:spPr>
              </pic:pic>
            </a:graphicData>
          </a:graphic>
        </wp:inline>
      </w:drawing>
    </w:r>
  </w:p>
  <w:p w:rsidR="00E75560" w:rsidRDefault="00E75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2D" w:rsidRDefault="00545B2D" w:rsidP="008B1FED">
    <w:pPr>
      <w:pStyle w:val="Header"/>
      <w:ind w:right="-772"/>
      <w:jc w:val="right"/>
    </w:pPr>
  </w:p>
  <w:p w:rsidR="00545B2D" w:rsidRDefault="00545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60" w:rsidRDefault="00E7556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60" w:rsidRDefault="00E75560" w:rsidP="008B1FED">
    <w:pPr>
      <w:pStyle w:val="Header"/>
      <w:ind w:right="-772"/>
      <w:jc w:val="right"/>
    </w:pPr>
  </w:p>
  <w:p w:rsidR="00E75560" w:rsidRDefault="00E7556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60" w:rsidRDefault="00E75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971"/>
    <w:multiLevelType w:val="hybridMultilevel"/>
    <w:tmpl w:val="AFBA0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007D4F"/>
    <w:multiLevelType w:val="hybridMultilevel"/>
    <w:tmpl w:val="2A962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BB6F09"/>
    <w:multiLevelType w:val="hybridMultilevel"/>
    <w:tmpl w:val="A9304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E02F06"/>
    <w:multiLevelType w:val="hybridMultilevel"/>
    <w:tmpl w:val="877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Bird">
    <w15:presenceInfo w15:providerId="None" w15:userId="Adam Bi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
  <w:rsids>
    <w:rsidRoot w:val="008B5E35"/>
    <w:rsid w:val="0006585A"/>
    <w:rsid w:val="000F6C21"/>
    <w:rsid w:val="000F7687"/>
    <w:rsid w:val="00141FB6"/>
    <w:rsid w:val="001464B1"/>
    <w:rsid w:val="001948A1"/>
    <w:rsid w:val="002123B4"/>
    <w:rsid w:val="00214DA1"/>
    <w:rsid w:val="00215AC5"/>
    <w:rsid w:val="00253960"/>
    <w:rsid w:val="00253CB0"/>
    <w:rsid w:val="00272401"/>
    <w:rsid w:val="002757F9"/>
    <w:rsid w:val="002C332C"/>
    <w:rsid w:val="002D456B"/>
    <w:rsid w:val="003A5C93"/>
    <w:rsid w:val="004568E0"/>
    <w:rsid w:val="004C2BBE"/>
    <w:rsid w:val="004E68FB"/>
    <w:rsid w:val="00530FA9"/>
    <w:rsid w:val="00536886"/>
    <w:rsid w:val="00545B2D"/>
    <w:rsid w:val="0057405F"/>
    <w:rsid w:val="00584EA6"/>
    <w:rsid w:val="0062087D"/>
    <w:rsid w:val="006223A5"/>
    <w:rsid w:val="00623E53"/>
    <w:rsid w:val="006826F3"/>
    <w:rsid w:val="0068753A"/>
    <w:rsid w:val="00691861"/>
    <w:rsid w:val="00696207"/>
    <w:rsid w:val="006A6FFD"/>
    <w:rsid w:val="006B6C81"/>
    <w:rsid w:val="006E55D4"/>
    <w:rsid w:val="00792009"/>
    <w:rsid w:val="0079739E"/>
    <w:rsid w:val="007B6CB4"/>
    <w:rsid w:val="007C2902"/>
    <w:rsid w:val="00841895"/>
    <w:rsid w:val="00892540"/>
    <w:rsid w:val="008A2C20"/>
    <w:rsid w:val="008B1FED"/>
    <w:rsid w:val="008B5E35"/>
    <w:rsid w:val="008F4B18"/>
    <w:rsid w:val="00901DF4"/>
    <w:rsid w:val="009C6B29"/>
    <w:rsid w:val="009F5725"/>
    <w:rsid w:val="00A01CC5"/>
    <w:rsid w:val="00A04EAC"/>
    <w:rsid w:val="00A57D6B"/>
    <w:rsid w:val="00A84CD9"/>
    <w:rsid w:val="00A87C72"/>
    <w:rsid w:val="00AB470F"/>
    <w:rsid w:val="00AC753F"/>
    <w:rsid w:val="00B00FFB"/>
    <w:rsid w:val="00B11C98"/>
    <w:rsid w:val="00B44DA7"/>
    <w:rsid w:val="00B57A7A"/>
    <w:rsid w:val="00B75C49"/>
    <w:rsid w:val="00B80255"/>
    <w:rsid w:val="00BC166B"/>
    <w:rsid w:val="00C16588"/>
    <w:rsid w:val="00C60E13"/>
    <w:rsid w:val="00C963F9"/>
    <w:rsid w:val="00CE2511"/>
    <w:rsid w:val="00D03CEC"/>
    <w:rsid w:val="00D22981"/>
    <w:rsid w:val="00D72723"/>
    <w:rsid w:val="00D81BE1"/>
    <w:rsid w:val="00D94A54"/>
    <w:rsid w:val="00DD646A"/>
    <w:rsid w:val="00DF1476"/>
    <w:rsid w:val="00E05168"/>
    <w:rsid w:val="00E251B9"/>
    <w:rsid w:val="00E471D8"/>
    <w:rsid w:val="00E53504"/>
    <w:rsid w:val="00E75560"/>
    <w:rsid w:val="00E77F78"/>
    <w:rsid w:val="00E823DB"/>
    <w:rsid w:val="00EE25C7"/>
    <w:rsid w:val="00EF6392"/>
    <w:rsid w:val="00F40846"/>
    <w:rsid w:val="00F6390C"/>
    <w:rsid w:val="00FA6F94"/>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B4"/>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35"/>
    <w:pPr>
      <w:tabs>
        <w:tab w:val="center" w:pos="4320"/>
        <w:tab w:val="right" w:pos="8640"/>
      </w:tabs>
    </w:pPr>
    <w:rPr>
      <w:rFonts w:asciiTheme="minorHAnsi" w:eastAsiaTheme="minorEastAsia" w:hAnsiTheme="minorHAnsi"/>
      <w:lang w:eastAsia="ja-JP"/>
    </w:rPr>
  </w:style>
  <w:style w:type="character" w:customStyle="1" w:styleId="HeaderChar">
    <w:name w:val="Header Char"/>
    <w:basedOn w:val="DefaultParagraphFont"/>
    <w:link w:val="Header"/>
    <w:uiPriority w:val="99"/>
    <w:rsid w:val="008B5E35"/>
  </w:style>
  <w:style w:type="paragraph" w:styleId="Footer">
    <w:name w:val="footer"/>
    <w:basedOn w:val="Normal"/>
    <w:link w:val="FooterChar"/>
    <w:uiPriority w:val="99"/>
    <w:unhideWhenUsed/>
    <w:rsid w:val="008B5E35"/>
    <w:pPr>
      <w:tabs>
        <w:tab w:val="center" w:pos="4320"/>
        <w:tab w:val="right" w:pos="8640"/>
      </w:tabs>
    </w:pPr>
    <w:rPr>
      <w:rFonts w:asciiTheme="minorHAnsi" w:eastAsiaTheme="minorEastAsia" w:hAnsiTheme="minorHAnsi"/>
      <w:lang w:eastAsia="ja-JP"/>
    </w:rPr>
  </w:style>
  <w:style w:type="character" w:customStyle="1" w:styleId="FooterChar">
    <w:name w:val="Footer Char"/>
    <w:basedOn w:val="DefaultParagraphFont"/>
    <w:link w:val="Footer"/>
    <w:uiPriority w:val="99"/>
    <w:rsid w:val="008B5E35"/>
  </w:style>
  <w:style w:type="character" w:styleId="Hyperlink">
    <w:name w:val="Hyperlink"/>
    <w:basedOn w:val="DefaultParagraphFont"/>
    <w:uiPriority w:val="99"/>
    <w:unhideWhenUsed/>
    <w:rsid w:val="008B5E35"/>
    <w:rPr>
      <w:color w:val="0000FF"/>
      <w:u w:val="single"/>
    </w:rPr>
  </w:style>
  <w:style w:type="paragraph" w:styleId="BalloonText">
    <w:name w:val="Balloon Text"/>
    <w:basedOn w:val="Normal"/>
    <w:link w:val="BalloonTextChar"/>
    <w:uiPriority w:val="99"/>
    <w:semiHidden/>
    <w:unhideWhenUsed/>
    <w:rsid w:val="004C2BB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C2BBE"/>
    <w:rPr>
      <w:rFonts w:ascii="Lucida Grande" w:hAnsi="Lucida Grande" w:cs="Lucida Grande"/>
      <w:sz w:val="18"/>
      <w:szCs w:val="18"/>
    </w:rPr>
  </w:style>
  <w:style w:type="character" w:styleId="PageNumber">
    <w:name w:val="page number"/>
    <w:basedOn w:val="DefaultParagraphFont"/>
    <w:uiPriority w:val="99"/>
    <w:semiHidden/>
    <w:unhideWhenUsed/>
    <w:rsid w:val="00530FA9"/>
  </w:style>
  <w:style w:type="paragraph" w:styleId="ListParagraph">
    <w:name w:val="List Paragraph"/>
    <w:basedOn w:val="Normal"/>
    <w:uiPriority w:val="34"/>
    <w:qFormat/>
    <w:rsid w:val="00214DA1"/>
    <w:pPr>
      <w:ind w:left="720"/>
      <w:contextualSpacing/>
    </w:pPr>
  </w:style>
  <w:style w:type="character" w:styleId="CommentReference">
    <w:name w:val="annotation reference"/>
    <w:basedOn w:val="DefaultParagraphFont"/>
    <w:uiPriority w:val="99"/>
    <w:semiHidden/>
    <w:unhideWhenUsed/>
    <w:rsid w:val="00141FB6"/>
    <w:rPr>
      <w:sz w:val="18"/>
      <w:szCs w:val="18"/>
    </w:rPr>
  </w:style>
  <w:style w:type="paragraph" w:styleId="CommentText">
    <w:name w:val="annotation text"/>
    <w:basedOn w:val="Normal"/>
    <w:link w:val="CommentTextChar"/>
    <w:uiPriority w:val="99"/>
    <w:semiHidden/>
    <w:unhideWhenUsed/>
    <w:rsid w:val="00141FB6"/>
  </w:style>
  <w:style w:type="character" w:customStyle="1" w:styleId="CommentTextChar">
    <w:name w:val="Comment Text Char"/>
    <w:basedOn w:val="DefaultParagraphFont"/>
    <w:link w:val="CommentText"/>
    <w:uiPriority w:val="99"/>
    <w:semiHidden/>
    <w:rsid w:val="00141FB6"/>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141FB6"/>
    <w:rPr>
      <w:b/>
      <w:bCs/>
      <w:sz w:val="20"/>
      <w:szCs w:val="20"/>
    </w:rPr>
  </w:style>
  <w:style w:type="character" w:customStyle="1" w:styleId="CommentSubjectChar">
    <w:name w:val="Comment Subject Char"/>
    <w:basedOn w:val="CommentTextChar"/>
    <w:link w:val="CommentSubject"/>
    <w:uiPriority w:val="99"/>
    <w:semiHidden/>
    <w:rsid w:val="00141FB6"/>
    <w:rPr>
      <w:rFonts w:ascii="Arial" w:eastAsiaTheme="minorHAnsi" w:hAnsi="Arial"/>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B4"/>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E35"/>
    <w:pPr>
      <w:tabs>
        <w:tab w:val="center" w:pos="4320"/>
        <w:tab w:val="right" w:pos="8640"/>
      </w:tabs>
    </w:pPr>
    <w:rPr>
      <w:rFonts w:asciiTheme="minorHAnsi" w:eastAsiaTheme="minorEastAsia" w:hAnsiTheme="minorHAnsi"/>
      <w:lang w:eastAsia="ja-JP"/>
    </w:rPr>
  </w:style>
  <w:style w:type="character" w:customStyle="1" w:styleId="HeaderChar">
    <w:name w:val="Header Char"/>
    <w:basedOn w:val="DefaultParagraphFont"/>
    <w:link w:val="Header"/>
    <w:uiPriority w:val="99"/>
    <w:rsid w:val="008B5E35"/>
  </w:style>
  <w:style w:type="paragraph" w:styleId="Footer">
    <w:name w:val="footer"/>
    <w:basedOn w:val="Normal"/>
    <w:link w:val="FooterChar"/>
    <w:uiPriority w:val="99"/>
    <w:unhideWhenUsed/>
    <w:rsid w:val="008B5E35"/>
    <w:pPr>
      <w:tabs>
        <w:tab w:val="center" w:pos="4320"/>
        <w:tab w:val="right" w:pos="8640"/>
      </w:tabs>
    </w:pPr>
    <w:rPr>
      <w:rFonts w:asciiTheme="minorHAnsi" w:eastAsiaTheme="minorEastAsia" w:hAnsiTheme="minorHAnsi"/>
      <w:lang w:eastAsia="ja-JP"/>
    </w:rPr>
  </w:style>
  <w:style w:type="character" w:customStyle="1" w:styleId="FooterChar">
    <w:name w:val="Footer Char"/>
    <w:basedOn w:val="DefaultParagraphFont"/>
    <w:link w:val="Footer"/>
    <w:uiPriority w:val="99"/>
    <w:rsid w:val="008B5E35"/>
  </w:style>
  <w:style w:type="character" w:styleId="Hyperlink">
    <w:name w:val="Hyperlink"/>
    <w:basedOn w:val="DefaultParagraphFont"/>
    <w:uiPriority w:val="99"/>
    <w:unhideWhenUsed/>
    <w:rsid w:val="008B5E35"/>
    <w:rPr>
      <w:color w:val="0000FF"/>
      <w:u w:val="single"/>
    </w:rPr>
  </w:style>
  <w:style w:type="paragraph" w:styleId="BalloonText">
    <w:name w:val="Balloon Text"/>
    <w:basedOn w:val="Normal"/>
    <w:link w:val="BalloonTextChar"/>
    <w:uiPriority w:val="99"/>
    <w:semiHidden/>
    <w:unhideWhenUsed/>
    <w:rsid w:val="004C2BB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C2BBE"/>
    <w:rPr>
      <w:rFonts w:ascii="Lucida Grande" w:hAnsi="Lucida Grande" w:cs="Lucida Grande"/>
      <w:sz w:val="18"/>
      <w:szCs w:val="18"/>
    </w:rPr>
  </w:style>
  <w:style w:type="character" w:styleId="PageNumber">
    <w:name w:val="page number"/>
    <w:basedOn w:val="DefaultParagraphFont"/>
    <w:uiPriority w:val="99"/>
    <w:semiHidden/>
    <w:unhideWhenUsed/>
    <w:rsid w:val="00530FA9"/>
  </w:style>
  <w:style w:type="paragraph" w:styleId="ListParagraph">
    <w:name w:val="List Paragraph"/>
    <w:basedOn w:val="Normal"/>
    <w:uiPriority w:val="34"/>
    <w:qFormat/>
    <w:rsid w:val="00214DA1"/>
    <w:pPr>
      <w:ind w:left="720"/>
      <w:contextualSpacing/>
    </w:pPr>
  </w:style>
  <w:style w:type="character" w:styleId="CommentReference">
    <w:name w:val="annotation reference"/>
    <w:basedOn w:val="DefaultParagraphFont"/>
    <w:uiPriority w:val="99"/>
    <w:semiHidden/>
    <w:unhideWhenUsed/>
    <w:rsid w:val="00141FB6"/>
    <w:rPr>
      <w:sz w:val="18"/>
      <w:szCs w:val="18"/>
    </w:rPr>
  </w:style>
  <w:style w:type="paragraph" w:styleId="CommentText">
    <w:name w:val="annotation text"/>
    <w:basedOn w:val="Normal"/>
    <w:link w:val="CommentTextChar"/>
    <w:uiPriority w:val="99"/>
    <w:semiHidden/>
    <w:unhideWhenUsed/>
    <w:rsid w:val="00141FB6"/>
  </w:style>
  <w:style w:type="character" w:customStyle="1" w:styleId="CommentTextChar">
    <w:name w:val="Comment Text Char"/>
    <w:basedOn w:val="DefaultParagraphFont"/>
    <w:link w:val="CommentText"/>
    <w:uiPriority w:val="99"/>
    <w:semiHidden/>
    <w:rsid w:val="00141FB6"/>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141FB6"/>
    <w:rPr>
      <w:b/>
      <w:bCs/>
      <w:sz w:val="20"/>
      <w:szCs w:val="20"/>
    </w:rPr>
  </w:style>
  <w:style w:type="character" w:customStyle="1" w:styleId="CommentSubjectChar">
    <w:name w:val="Comment Subject Char"/>
    <w:basedOn w:val="CommentTextChar"/>
    <w:link w:val="CommentSubject"/>
    <w:uiPriority w:val="99"/>
    <w:semiHidden/>
    <w:rsid w:val="00141FB6"/>
    <w:rPr>
      <w:rFonts w:ascii="Arial" w:eastAsiaTheme="minorHAnsi" w:hAnsi="Arial"/>
      <w:b/>
      <w:bCs/>
      <w:sz w:val="20"/>
      <w:szCs w:val="2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Intensive Group</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Board - Submission - ESM standard and guideline - Australian and New Zealand Podiatry Accreditation Council</dc:title>
  <dc:subject>Submission</dc:subject>
  <dc:creator>Craig McDonald</dc:creator>
  <cp:lastModifiedBy>BTennant</cp:lastModifiedBy>
  <cp:revision>2</cp:revision>
  <cp:lastPrinted>2016-03-18T00:38:00Z</cp:lastPrinted>
  <dcterms:created xsi:type="dcterms:W3CDTF">2017-10-24T23:51:00Z</dcterms:created>
  <dcterms:modified xsi:type="dcterms:W3CDTF">2017-10-24T23:51:00Z</dcterms:modified>
</cp:coreProperties>
</file>