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A1" w:rsidRDefault="00975AA1" w:rsidP="00C3795C">
      <w:pPr>
        <w:pStyle w:val="AHPRADocumenttitle"/>
      </w:pPr>
    </w:p>
    <w:p w:rsidR="00975AA1" w:rsidRDefault="00975AA1" w:rsidP="00C3795C">
      <w:pPr>
        <w:pStyle w:val="AHPRADocumenttitle"/>
      </w:pPr>
    </w:p>
    <w:p w:rsidR="00FC2881" w:rsidRPr="00C3795C" w:rsidRDefault="00054800" w:rsidP="00C3795C">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24.05pt;width:159.0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vo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CFNZLKYzjOjVl5Dimmis85+57lEwSuy8JaLtfKWVAuG1zWIZcnh2&#10;PtAixTUhVFV6I6SM+kuFhhIvZpNZTHBaChacIczZdldJiw4kbFD8xR7Bcx9m9V6xCNZxwtYX2xMh&#10;zzYUlyrgQWNA52KdV+THIl2s5+t5PsonD+tRntb16GlT5aOHTfZpVk/rqqqzn4FalhedYIyrwO66&#10;rln+d+tweTjnRbst7G0MyXv0OC8ge/2PpKOyQczzWuw0O23tVXHY0Bh8eU3hCdzfwb5/86tfAAAA&#10;//8DAFBLAwQUAAYACAAAACEAlHF1at4AAAAKAQAADwAAAGRycy9kb3ducmV2LnhtbEyPwU7DMAyG&#10;70i8Q2QkLmhLU2DauqbThMSBI9skrl7jtYXGqZp0LXt6MnGAo+1Pv78/30y2FWfqfeNYg5onIIhL&#10;ZxquNBz2r7MlCB+QDbaOScM3edgUtzc5ZsaN/E7nXahEDGGfoYY6hC6T0pc1WfRz1xHH28n1FkMc&#10;+0qaHscYbluZJslCWmw4fqixo5eayq/dYDWQH55Vsl3Z6vB2GR8+0svn2O21vr+btmsQgabwB8NV&#10;P6pDEZ2ObmDjRathptLFY2Q1PC0ViCuxUrHM8Xchi1z+r1D8AAAA//8DAFBLAQItABQABgAIAAAA&#10;IQC2gziS/gAAAOEBAAATAAAAAAAAAAAAAAAAAAAAAABbQ29udGVudF9UeXBlc10ueG1sUEsBAi0A&#10;FAAGAAgAAAAhADj9If/WAAAAlAEAAAsAAAAAAAAAAAAAAAAALwEAAF9yZWxzLy5yZWxzUEsBAi0A&#10;FAAGAAgAAAAhABu3S+geAgAAOwQAAA4AAAAAAAAAAAAAAAAALgIAAGRycy9lMm9Eb2MueG1sUEsB&#10;Ai0AFAAGAAgAAAAhAJRxdWreAAAACgEAAA8AAAAAAAAAAAAAAAAAeAQAAGRycy9kb3ducmV2Lnht&#10;bFBLBQYAAAAABAAEAPMAAACDBQAAAAA=&#10;"/>
        </w:pict>
      </w:r>
      <w:r w:rsidR="00975AA1">
        <w:t>Communiqué</w:t>
      </w:r>
    </w:p>
    <w:p w:rsidR="00C3795C" w:rsidRPr="00361DD5" w:rsidRDefault="004200F9" w:rsidP="00361DD5">
      <w:pPr>
        <w:pStyle w:val="AHPRAbody"/>
      </w:pPr>
      <w:r w:rsidRPr="00361DD5">
        <w:t>11 December</w:t>
      </w:r>
      <w:r w:rsidR="00C657B9" w:rsidRPr="00361DD5">
        <w:t xml:space="preserve"> 2015</w:t>
      </w:r>
    </w:p>
    <w:p w:rsidR="007C15E1" w:rsidRDefault="007C15E1" w:rsidP="00361DD5">
      <w:pPr>
        <w:pStyle w:val="AHPRAbody"/>
      </w:pPr>
      <w:r>
        <w:t>The Podiatry Board of Australia (the Board) meets each month to consider and decide on any matters related to its regulatory function under the National Law</w:t>
      </w:r>
      <w:r>
        <w:rPr>
          <w:sz w:val="12"/>
          <w:szCs w:val="12"/>
        </w:rPr>
        <w:t xml:space="preserve">1 </w:t>
      </w:r>
      <w:r>
        <w:t xml:space="preserve">and within the National Registration and Accreditation Scheme (the National Scheme). </w:t>
      </w:r>
    </w:p>
    <w:p w:rsidR="007C15E1" w:rsidRPr="007C15E1" w:rsidRDefault="007C15E1" w:rsidP="00361DD5">
      <w:pPr>
        <w:pStyle w:val="AHPRAbody"/>
        <w:rPr>
          <w:b/>
        </w:rPr>
      </w:pPr>
      <w:r w:rsidRPr="007C15E1">
        <w:t>This communiqué aims to inform stakeholders of the work of the Board and matters regarding the National Scheme. Please forward it on to colleagues and employees who may be i</w:t>
      </w:r>
      <w:bookmarkStart w:id="0" w:name="_GoBack"/>
      <w:bookmarkEnd w:id="0"/>
      <w:r w:rsidRPr="007C15E1">
        <w:t>nterested in its content.</w:t>
      </w:r>
    </w:p>
    <w:p w:rsidR="00C657B9" w:rsidRDefault="00C657B9" w:rsidP="00501F47">
      <w:pPr>
        <w:spacing w:before="240" w:after="240"/>
        <w:rPr>
          <w:b/>
          <w:color w:val="007DC3"/>
          <w:sz w:val="20"/>
        </w:rPr>
      </w:pPr>
      <w:r>
        <w:rPr>
          <w:b/>
          <w:color w:val="007DC3"/>
          <w:sz w:val="20"/>
        </w:rPr>
        <w:t>November 2015 meeting</w:t>
      </w:r>
    </w:p>
    <w:p w:rsidR="00C657B9" w:rsidRPr="00C657B9" w:rsidRDefault="00C657B9" w:rsidP="001004E1">
      <w:pPr>
        <w:rPr>
          <w:sz w:val="20"/>
        </w:rPr>
      </w:pPr>
      <w:r w:rsidRPr="00C657B9">
        <w:rPr>
          <w:sz w:val="20"/>
        </w:rPr>
        <w:t>The Board held its 25 November 2015 meeting by teleconference</w:t>
      </w:r>
      <w:r>
        <w:rPr>
          <w:sz w:val="20"/>
        </w:rPr>
        <w:t>.</w:t>
      </w:r>
    </w:p>
    <w:p w:rsidR="00810F7A" w:rsidRDefault="00E60092" w:rsidP="001004E1">
      <w:pPr>
        <w:rPr>
          <w:b/>
          <w:color w:val="007DC3"/>
          <w:sz w:val="20"/>
        </w:rPr>
      </w:pPr>
      <w:r>
        <w:rPr>
          <w:b/>
          <w:color w:val="007DC3"/>
          <w:sz w:val="20"/>
        </w:rPr>
        <w:t>Have you renewed your registration yet?</w:t>
      </w:r>
      <w:r w:rsidR="004A3BBD">
        <w:rPr>
          <w:b/>
          <w:color w:val="007DC3"/>
          <w:sz w:val="20"/>
        </w:rPr>
        <w:t xml:space="preserve"> </w:t>
      </w:r>
      <w:r w:rsidR="00CA0CB4">
        <w:rPr>
          <w:b/>
          <w:color w:val="007DC3"/>
          <w:sz w:val="20"/>
        </w:rPr>
        <w:t>Registration</w:t>
      </w:r>
      <w:r w:rsidR="004A3BBD">
        <w:rPr>
          <w:b/>
          <w:color w:val="007DC3"/>
          <w:sz w:val="20"/>
        </w:rPr>
        <w:t xml:space="preserve"> now in late period</w:t>
      </w:r>
    </w:p>
    <w:p w:rsidR="00A32EBD" w:rsidRDefault="00E60092">
      <w:pPr>
        <w:pStyle w:val="AHPRAbody"/>
        <w:rPr>
          <w:color w:val="444444"/>
          <w:sz w:val="15"/>
          <w:szCs w:val="15"/>
        </w:rPr>
      </w:pPr>
      <w:r w:rsidRPr="00C7682D">
        <w:t>The registration renewal date for podiatrists and podiatric surgeons was 30 November 201</w:t>
      </w:r>
      <w:r>
        <w:t>5</w:t>
      </w:r>
      <w:r w:rsidRPr="00C7682D">
        <w:t xml:space="preserve">. </w:t>
      </w:r>
    </w:p>
    <w:p w:rsidR="00A32EBD" w:rsidRDefault="00E60092">
      <w:pPr>
        <w:pStyle w:val="AHPRAbody"/>
      </w:pPr>
      <w:r w:rsidRPr="00BD68DC">
        <w:t>If you have</w:t>
      </w:r>
      <w:r w:rsidR="00BA4240">
        <w:t xml:space="preserve"> not</w:t>
      </w:r>
      <w:r w:rsidRPr="00BD68DC">
        <w:t xml:space="preserve"> already renewed your registration, </w:t>
      </w:r>
      <w:r w:rsidR="004200F9" w:rsidRPr="004200F9">
        <w:t xml:space="preserve">you can still </w:t>
      </w:r>
      <w:r w:rsidR="00273D95">
        <w:t xml:space="preserve">apply to </w:t>
      </w:r>
      <w:r w:rsidR="004200F9" w:rsidRPr="004200F9">
        <w:t xml:space="preserve">renew until </w:t>
      </w:r>
      <w:r w:rsidR="004200F9" w:rsidRPr="004200F9">
        <w:rPr>
          <w:b/>
        </w:rPr>
        <w:t>31 December 2015</w:t>
      </w:r>
      <w:r w:rsidR="00BD68DC" w:rsidRPr="00BD68DC">
        <w:t>; however, a late fee must be paid in addition to the renewal of registration fee.</w:t>
      </w:r>
    </w:p>
    <w:p w:rsidR="00A32EBD" w:rsidRDefault="004200F9" w:rsidP="00361DD5">
      <w:pPr>
        <w:pStyle w:val="AHPRAbody"/>
      </w:pPr>
      <w:r w:rsidRPr="004200F9">
        <w:t>The quickest and easiest way to renew your registration is</w:t>
      </w:r>
      <w:r w:rsidRPr="004200F9">
        <w:rPr>
          <w:color w:val="0000FF"/>
          <w:u w:val="single"/>
        </w:rPr>
        <w:t xml:space="preserve"> </w:t>
      </w:r>
      <w:hyperlink r:id="rId8" w:history="1">
        <w:r w:rsidRPr="004200F9">
          <w:rPr>
            <w:rStyle w:val="Hyperlink"/>
          </w:rPr>
          <w:t>online</w:t>
        </w:r>
      </w:hyperlink>
      <w:r w:rsidRPr="004200F9">
        <w:t xml:space="preserve">. You can keep practising during the late period but must apply for renewal of registration by </w:t>
      </w:r>
      <w:r w:rsidRPr="004200F9">
        <w:rPr>
          <w:b/>
        </w:rPr>
        <w:t>31 December.</w:t>
      </w:r>
      <w:r w:rsidRPr="004200F9">
        <w:t xml:space="preserve"> </w:t>
      </w:r>
    </w:p>
    <w:p w:rsidR="00A32EBD" w:rsidRDefault="00EC1B72" w:rsidP="00361DD5">
      <w:pPr>
        <w:pStyle w:val="AHPRAbody"/>
      </w:pPr>
      <w:r>
        <w:rPr>
          <w:szCs w:val="20"/>
        </w:rPr>
        <w:t>U</w:t>
      </w:r>
      <w:r w:rsidRPr="00114BE6">
        <w:rPr>
          <w:szCs w:val="20"/>
          <w:lang w:eastAsia="en-AU"/>
        </w:rPr>
        <w:t>nder the National Law</w:t>
      </w:r>
      <w:r w:rsidRPr="00114BE6">
        <w:rPr>
          <w:rStyle w:val="FootnoteReference"/>
          <w:szCs w:val="20"/>
          <w:lang w:eastAsia="en-AU"/>
        </w:rPr>
        <w:footnoteReference w:id="2"/>
      </w:r>
      <w:r w:rsidRPr="00114BE6">
        <w:rPr>
          <w:szCs w:val="20"/>
          <w:lang w:eastAsia="en-AU"/>
        </w:rPr>
        <w:t xml:space="preserve">, </w:t>
      </w:r>
      <w:r w:rsidR="00BD68DC" w:rsidRPr="00BD68DC">
        <w:t>if you do not apply to renew your registration within one month of your registration expiry date</w:t>
      </w:r>
      <w:r w:rsidR="00501F47">
        <w:t>,</w:t>
      </w:r>
      <w:r w:rsidR="00BD68DC" w:rsidRPr="00BD68DC">
        <w:rPr>
          <w:lang w:eastAsia="en-AU"/>
        </w:rPr>
        <w:t xml:space="preserve"> your registration will lapse</w:t>
      </w:r>
      <w:r w:rsidR="00BD68DC">
        <w:rPr>
          <w:lang w:eastAsia="en-AU"/>
        </w:rPr>
        <w:t xml:space="preserve"> </w:t>
      </w:r>
      <w:r w:rsidR="00BD68DC" w:rsidRPr="00BD68DC">
        <w:rPr>
          <w:lang w:eastAsia="en-AU"/>
        </w:rPr>
        <w:t>and</w:t>
      </w:r>
      <w:r w:rsidR="00BD68DC">
        <w:rPr>
          <w:lang w:eastAsia="en-AU"/>
        </w:rPr>
        <w:t xml:space="preserve"> </w:t>
      </w:r>
      <w:r w:rsidR="00BD68DC">
        <w:t>y</w:t>
      </w:r>
      <w:r w:rsidR="00BD68DC" w:rsidRPr="00C7682D">
        <w:t xml:space="preserve">our name must be removed from the </w:t>
      </w:r>
      <w:hyperlink r:id="rId9" w:history="1">
        <w:r w:rsidR="00BD68DC">
          <w:rPr>
            <w:rStyle w:val="Hyperlink"/>
            <w:szCs w:val="20"/>
          </w:rPr>
          <w:t>Register of Podiatrists</w:t>
        </w:r>
      </w:hyperlink>
      <w:r w:rsidR="00BD68DC">
        <w:rPr>
          <w:color w:val="444444"/>
        </w:rPr>
        <w:t xml:space="preserve">, </w:t>
      </w:r>
      <w:r w:rsidR="00BD68DC" w:rsidRPr="00C657B9">
        <w:t>and/or the Board’s specialist register in</w:t>
      </w:r>
      <w:r w:rsidR="00BD68DC">
        <w:t xml:space="preserve"> the case of podiatric surgeons. </w:t>
      </w:r>
      <w:r w:rsidR="00BD68DC" w:rsidRPr="00BD68DC">
        <w:rPr>
          <w:lang w:eastAsia="en-AU"/>
        </w:rPr>
        <w:t xml:space="preserve">This means that </w:t>
      </w:r>
      <w:r w:rsidR="00BD68DC" w:rsidRPr="00BD68DC">
        <w:t>you cannot practise in Australia until until a new application for registration is approved</w:t>
      </w:r>
      <w:r w:rsidR="00BD68DC" w:rsidRPr="00C657B9">
        <w:t>.</w:t>
      </w:r>
    </w:p>
    <w:p w:rsidR="00A32EBD" w:rsidRDefault="004A3BBD">
      <w:pPr>
        <w:pStyle w:val="AHPRAbody"/>
        <w:rPr>
          <w:szCs w:val="20"/>
        </w:rPr>
      </w:pPr>
      <w:r w:rsidRPr="00114BE6">
        <w:rPr>
          <w:szCs w:val="20"/>
          <w:lang w:eastAsia="en-AU"/>
        </w:rPr>
        <w:t xml:space="preserve">If you wish to </w:t>
      </w:r>
      <w:r w:rsidR="00A32EBD" w:rsidRPr="00114BE6">
        <w:rPr>
          <w:szCs w:val="20"/>
          <w:lang w:eastAsia="en-AU"/>
        </w:rPr>
        <w:t>practis</w:t>
      </w:r>
      <w:r w:rsidR="00A32EBD">
        <w:rPr>
          <w:szCs w:val="20"/>
          <w:lang w:eastAsia="en-AU"/>
        </w:rPr>
        <w:t>e</w:t>
      </w:r>
      <w:r w:rsidR="00A32EBD" w:rsidRPr="00114BE6">
        <w:rPr>
          <w:szCs w:val="20"/>
          <w:lang w:eastAsia="en-AU"/>
        </w:rPr>
        <w:t xml:space="preserve"> </w:t>
      </w:r>
      <w:r w:rsidRPr="00114BE6">
        <w:rPr>
          <w:szCs w:val="20"/>
          <w:lang w:eastAsia="en-AU"/>
        </w:rPr>
        <w:t xml:space="preserve">you must make a new application for registration. </w:t>
      </w:r>
      <w:r w:rsidRPr="00114BE6">
        <w:rPr>
          <w:rFonts w:eastAsia="Times New Roman"/>
          <w:szCs w:val="20"/>
          <w:lang w:eastAsia="en-AU"/>
        </w:rPr>
        <w:t xml:space="preserve">Fast track application forms will be available on the Board website under </w:t>
      </w:r>
      <w:r w:rsidRPr="00114BE6">
        <w:rPr>
          <w:rFonts w:eastAsia="Times New Roman"/>
          <w:i/>
          <w:szCs w:val="20"/>
          <w:lang w:eastAsia="en-AU"/>
        </w:rPr>
        <w:t>Forms</w:t>
      </w:r>
      <w:r w:rsidRPr="00114BE6">
        <w:rPr>
          <w:rFonts w:eastAsia="Times New Roman"/>
          <w:szCs w:val="20"/>
          <w:lang w:eastAsia="en-AU"/>
        </w:rPr>
        <w:t xml:space="preserve"> during </w:t>
      </w:r>
      <w:r w:rsidR="004200F9" w:rsidRPr="004200F9">
        <w:rPr>
          <w:rFonts w:eastAsia="Times New Roman"/>
          <w:b/>
          <w:szCs w:val="20"/>
          <w:lang w:eastAsia="en-AU"/>
        </w:rPr>
        <w:t>January</w:t>
      </w:r>
      <w:r w:rsidRPr="00114BE6">
        <w:rPr>
          <w:rFonts w:eastAsia="Times New Roman"/>
          <w:szCs w:val="20"/>
          <w:lang w:eastAsia="en-AU"/>
        </w:rPr>
        <w:t xml:space="preserve">. </w:t>
      </w:r>
      <w:r>
        <w:rPr>
          <w:rFonts w:eastAsia="Times New Roman"/>
          <w:szCs w:val="20"/>
          <w:lang w:eastAsia="en-AU"/>
        </w:rPr>
        <w:t>I</w:t>
      </w:r>
      <w:r w:rsidRPr="00114BE6">
        <w:rPr>
          <w:rFonts w:eastAsia="Times New Roman"/>
          <w:szCs w:val="20"/>
          <w:lang w:eastAsia="en-AU"/>
        </w:rPr>
        <w:t>f submitting a fast track application</w:t>
      </w:r>
      <w:r>
        <w:rPr>
          <w:rFonts w:eastAsia="Times New Roman"/>
          <w:szCs w:val="20"/>
          <w:lang w:eastAsia="en-AU"/>
        </w:rPr>
        <w:t xml:space="preserve"> in January</w:t>
      </w:r>
      <w:r w:rsidRPr="00114BE6">
        <w:rPr>
          <w:rFonts w:eastAsia="Times New Roman"/>
          <w:szCs w:val="20"/>
          <w:lang w:eastAsia="en-AU"/>
        </w:rPr>
        <w:t>, you cannot practise until your application is processed and your registration details are updated on the national register.</w:t>
      </w:r>
      <w:r w:rsidR="00B37020" w:rsidRPr="00B37020">
        <w:rPr>
          <w:szCs w:val="20"/>
        </w:rPr>
        <w:t xml:space="preserve"> </w:t>
      </w:r>
    </w:p>
    <w:p w:rsidR="00A32EBD" w:rsidRDefault="00B37020">
      <w:pPr>
        <w:pStyle w:val="AHPRAbody"/>
        <w:rPr>
          <w:szCs w:val="20"/>
          <w:lang w:eastAsia="en-AU"/>
        </w:rPr>
      </w:pPr>
      <w:r w:rsidRPr="00C7682D">
        <w:rPr>
          <w:szCs w:val="20"/>
        </w:rPr>
        <w:t xml:space="preserve">Information about renewal, </w:t>
      </w:r>
      <w:r>
        <w:rPr>
          <w:szCs w:val="20"/>
        </w:rPr>
        <w:t>including renewal FAQ’s</w:t>
      </w:r>
      <w:r w:rsidRPr="00C7682D">
        <w:rPr>
          <w:szCs w:val="20"/>
        </w:rPr>
        <w:t xml:space="preserve"> is available on the</w:t>
      </w:r>
      <w:r>
        <w:rPr>
          <w:color w:val="444444"/>
          <w:sz w:val="15"/>
          <w:szCs w:val="15"/>
        </w:rPr>
        <w:t xml:space="preserve"> </w:t>
      </w:r>
      <w:hyperlink r:id="rId10" w:history="1">
        <w:r w:rsidRPr="00C7682D">
          <w:rPr>
            <w:rStyle w:val="Hyperlink"/>
            <w:szCs w:val="20"/>
          </w:rPr>
          <w:t>Board's website</w:t>
        </w:r>
      </w:hyperlink>
      <w:r>
        <w:rPr>
          <w:color w:val="444444"/>
          <w:szCs w:val="20"/>
        </w:rPr>
        <w:t>.</w:t>
      </w:r>
    </w:p>
    <w:p w:rsidR="00A32EBD" w:rsidRDefault="00263ABD">
      <w:pPr>
        <w:pStyle w:val="AHPRASubhead"/>
      </w:pPr>
      <w:r>
        <w:t>Revised</w:t>
      </w:r>
      <w:r w:rsidR="000A4C8B">
        <w:t xml:space="preserve"> CPD standard for the podiatry profession has commenced</w:t>
      </w:r>
    </w:p>
    <w:p w:rsidR="00A32EBD" w:rsidRDefault="000A4C8B">
      <w:pPr>
        <w:pStyle w:val="AHPRAbody"/>
      </w:pPr>
      <w:r w:rsidRPr="000A4C8B">
        <w:t xml:space="preserve">A revised continuing professional development (CPD) registration standard took effect on 1 December 2015. </w:t>
      </w:r>
    </w:p>
    <w:p w:rsidR="00A32EBD" w:rsidRDefault="000A4C8B">
      <w:pPr>
        <w:pStyle w:val="AHPRAbody"/>
        <w:rPr>
          <w:color w:val="444444"/>
        </w:rPr>
      </w:pPr>
      <w:r w:rsidRPr="000A4C8B">
        <w:t>The Board published the</w:t>
      </w:r>
      <w:r>
        <w:rPr>
          <w:color w:val="444444"/>
        </w:rPr>
        <w:t xml:space="preserve"> </w:t>
      </w:r>
      <w:hyperlink r:id="rId11" w:history="1">
        <w:r>
          <w:rPr>
            <w:rStyle w:val="Hyperlink"/>
            <w:szCs w:val="20"/>
          </w:rPr>
          <w:t xml:space="preserve">revised CPD standard </w:t>
        </w:r>
      </w:hyperlink>
      <w:r w:rsidRPr="000A4C8B">
        <w:t>on 30 October to help practitioners become familiar with the new requirements before the standard commenced. The revised CPD registration standard will apply to all registered podiatrists and podiatric surgeons in Australia</w:t>
      </w:r>
      <w:r w:rsidR="00BA4240">
        <w:t xml:space="preserve">, </w:t>
      </w:r>
      <w:r w:rsidRPr="000A4C8B">
        <w:t>except those with non-practising registration. Practitioners will need to meet the obligations of the revised standard by the next registration renewal period on 30 November 2016.</w:t>
      </w:r>
    </w:p>
    <w:p w:rsidR="00A32EBD" w:rsidRDefault="000A4C8B">
      <w:pPr>
        <w:pStyle w:val="AHPRAbody"/>
      </w:pPr>
      <w:r w:rsidRPr="000A4C8B">
        <w:lastRenderedPageBreak/>
        <w:t>There have been minimal changes to the Board’s CPD standard. The number of hours of CPD that podiatrists and podiatric surgeons are required to undertake each year has not changed and the categories of CPD are largely the same.</w:t>
      </w:r>
    </w:p>
    <w:p w:rsidR="00A32EBD" w:rsidRDefault="000A4C8B">
      <w:pPr>
        <w:pStyle w:val="AHPRAbody"/>
      </w:pPr>
      <w:r w:rsidRPr="000A4C8B">
        <w:t>The Board has introduced a requirement that a minimum of five hours of CPD must be in an interactive setting with other practitioners, which can include Skype or videoconferencing.</w:t>
      </w:r>
    </w:p>
    <w:p w:rsidR="00A32EBD" w:rsidRDefault="000A4C8B">
      <w:pPr>
        <w:pStyle w:val="AHPRAbody"/>
      </w:pPr>
      <w:r w:rsidRPr="000A4C8B">
        <w:t>The requirement for podiatrists to complete training that includes cardiopulmonary resuscitation (CPR), management of anaphylaxis and use of an automated external defibrillator and for podiatric surgeons to complete training in advanced life support has been maintained. However, the Board has expanded the approved training organisations that can deliver the training to include a hospital and/or health service</w:t>
      </w:r>
      <w:r>
        <w:t>.</w:t>
      </w:r>
    </w:p>
    <w:p w:rsidR="00A32EBD" w:rsidRDefault="000A4C8B">
      <w:pPr>
        <w:pStyle w:val="AHPRAbody"/>
        <w:rPr>
          <w:lang w:val="en-US"/>
        </w:rPr>
      </w:pPr>
      <w:r>
        <w:rPr>
          <w:lang w:val="en-US"/>
        </w:rPr>
        <w:t xml:space="preserve">The Board has also published revised guidelines for CPD and updated FAQ’s for CPD. </w:t>
      </w:r>
    </w:p>
    <w:p w:rsidR="00A32EBD" w:rsidRDefault="000A4C8B">
      <w:pPr>
        <w:pStyle w:val="AHPRAbody"/>
        <w:rPr>
          <w:lang w:val="en-US"/>
        </w:rPr>
      </w:pPr>
      <w:r>
        <w:rPr>
          <w:lang w:val="en-US"/>
        </w:rPr>
        <w:t xml:space="preserve">More information about the new CPD registration standard can be found on the Board’s </w:t>
      </w:r>
      <w:hyperlink r:id="rId12" w:history="1">
        <w:r>
          <w:rPr>
            <w:rStyle w:val="Hyperlink"/>
            <w:lang w:val="en-US"/>
          </w:rPr>
          <w:t>website</w:t>
        </w:r>
      </w:hyperlink>
      <w:r>
        <w:rPr>
          <w:lang w:val="en-US"/>
        </w:rPr>
        <w:t>.</w:t>
      </w:r>
    </w:p>
    <w:p w:rsidR="00A32EBD" w:rsidRDefault="002708F2">
      <w:pPr>
        <w:pStyle w:val="AHPRASubhead"/>
      </w:pPr>
      <w:r>
        <w:t xml:space="preserve">Revised standard for PII arrangements </w:t>
      </w:r>
      <w:r w:rsidR="004A3BBD">
        <w:t xml:space="preserve">now </w:t>
      </w:r>
      <w:r>
        <w:t>published</w:t>
      </w:r>
    </w:p>
    <w:p w:rsidR="00A32EBD" w:rsidRDefault="004200F9">
      <w:pPr>
        <w:pStyle w:val="AHPRAbody"/>
        <w:rPr>
          <w:color w:val="000000" w:themeColor="text1"/>
          <w:szCs w:val="20"/>
        </w:rPr>
      </w:pPr>
      <w:r w:rsidRPr="004200F9">
        <w:rPr>
          <w:color w:val="000000" w:themeColor="text1"/>
          <w:szCs w:val="20"/>
        </w:rPr>
        <w:t>A revised registration standard for Professional indemnity insurance (PII) arrangements has been published by the Board.</w:t>
      </w:r>
    </w:p>
    <w:p w:rsidR="00A32EBD" w:rsidRDefault="004200F9">
      <w:pPr>
        <w:pStyle w:val="AHPRAbody"/>
        <w:rPr>
          <w:color w:val="000000" w:themeColor="text1"/>
          <w:szCs w:val="20"/>
        </w:rPr>
      </w:pPr>
      <w:r w:rsidRPr="004200F9">
        <w:rPr>
          <w:color w:val="000000" w:themeColor="text1"/>
          <w:szCs w:val="20"/>
        </w:rPr>
        <w:t xml:space="preserve">The </w:t>
      </w:r>
      <w:hyperlink r:id="rId13" w:history="1">
        <w:r w:rsidR="002708F2">
          <w:rPr>
            <w:rStyle w:val="Hyperlink"/>
            <w:szCs w:val="20"/>
          </w:rPr>
          <w:t>revised standard</w:t>
        </w:r>
      </w:hyperlink>
      <w:r w:rsidR="002708F2">
        <w:rPr>
          <w:color w:val="444444"/>
          <w:szCs w:val="20"/>
        </w:rPr>
        <w:t xml:space="preserve"> </w:t>
      </w:r>
      <w:r w:rsidRPr="004200F9">
        <w:rPr>
          <w:color w:val="000000" w:themeColor="text1"/>
          <w:szCs w:val="20"/>
        </w:rPr>
        <w:t>will come in to effect on 1 July 2016 and will replace the standard that is currently in place. This standard will apply to all registered podiatrists and podiatric surgeons except those with non-practising registration. Practitioners will need to meet the obligations of the revised standard either:</w:t>
      </w:r>
    </w:p>
    <w:p w:rsidR="00A32EBD" w:rsidRDefault="004200F9">
      <w:pPr>
        <w:pStyle w:val="AHPRABulletlevel1"/>
      </w:pPr>
      <w:r w:rsidRPr="004200F9">
        <w:t>by the time they next renew their PII arrangements policy,</w:t>
      </w:r>
      <w:r w:rsidRPr="004200F9">
        <w:rPr>
          <w:rStyle w:val="Strong"/>
          <w:rFonts w:cs="Arial"/>
          <w:color w:val="000000" w:themeColor="text1"/>
          <w:szCs w:val="20"/>
        </w:rPr>
        <w:t xml:space="preserve"> or</w:t>
      </w:r>
      <w:r w:rsidRPr="004200F9">
        <w:t xml:space="preserve"> </w:t>
      </w:r>
    </w:p>
    <w:p w:rsidR="00A32EBD" w:rsidRDefault="004200F9" w:rsidP="00361DD5">
      <w:pPr>
        <w:pStyle w:val="AHPRABulletlevel1last"/>
      </w:pPr>
      <w:r w:rsidRPr="004200F9">
        <w:t xml:space="preserve">by their next renewal of registration after 1 October 2016, whichever is sooner. </w:t>
      </w:r>
    </w:p>
    <w:p w:rsidR="00A32EBD" w:rsidRDefault="004200F9" w:rsidP="00361DD5">
      <w:pPr>
        <w:pStyle w:val="AHPRAbody"/>
      </w:pPr>
      <w:r w:rsidRPr="004200F9">
        <w:rPr>
          <w:rStyle w:val="Strong"/>
          <w:color w:val="000000" w:themeColor="text1"/>
          <w:szCs w:val="20"/>
        </w:rPr>
        <w:t>This registration standard does not apply to the current cycle of renewals</w:t>
      </w:r>
      <w:r w:rsidRPr="004200F9">
        <w:t xml:space="preserve"> (that is, it does not apply to late applications for renewal received in December). </w:t>
      </w:r>
    </w:p>
    <w:p w:rsidR="00A32EBD" w:rsidRDefault="004200F9" w:rsidP="00361DD5">
      <w:pPr>
        <w:pStyle w:val="AHPRAbody"/>
        <w:rPr>
          <w:color w:val="000000" w:themeColor="text1"/>
          <w:szCs w:val="20"/>
        </w:rPr>
      </w:pPr>
      <w:r w:rsidRPr="004200F9">
        <w:rPr>
          <w:color w:val="000000" w:themeColor="text1"/>
          <w:szCs w:val="20"/>
        </w:rPr>
        <w:t xml:space="preserve">National Boards will shortly publish more information about the revised PII arrangements registration standard which explains the requirements and what is expected of practitioners, in addition to some common FAQs. The Podiatry Board of Australia has also published updated FAQ’s for PII. </w:t>
      </w:r>
    </w:p>
    <w:p w:rsidR="00A32EBD" w:rsidRDefault="004200F9">
      <w:pPr>
        <w:pStyle w:val="AHPRAbody"/>
        <w:rPr>
          <w:color w:val="444444"/>
          <w:szCs w:val="20"/>
        </w:rPr>
      </w:pPr>
      <w:r w:rsidRPr="004200F9">
        <w:rPr>
          <w:color w:val="000000" w:themeColor="text1"/>
          <w:szCs w:val="20"/>
        </w:rPr>
        <w:t>More information about the revised PII arrangements standard, including a brief consultation report and FAQs, can be found on the</w:t>
      </w:r>
      <w:r w:rsidR="002708F2">
        <w:rPr>
          <w:color w:val="444444"/>
          <w:szCs w:val="20"/>
        </w:rPr>
        <w:t xml:space="preserve"> </w:t>
      </w:r>
      <w:hyperlink r:id="rId14" w:tgtFrame="_blank" w:history="1">
        <w:r w:rsidR="002708F2">
          <w:rPr>
            <w:rStyle w:val="Hyperlink"/>
            <w:szCs w:val="20"/>
          </w:rPr>
          <w:t>Professional indemnity insurance arrangements page</w:t>
        </w:r>
      </w:hyperlink>
      <w:r w:rsidR="002708F2">
        <w:rPr>
          <w:color w:val="444444"/>
          <w:szCs w:val="20"/>
        </w:rPr>
        <w:t xml:space="preserve"> </w:t>
      </w:r>
      <w:r w:rsidRPr="004200F9">
        <w:rPr>
          <w:color w:val="000000" w:themeColor="text1"/>
          <w:szCs w:val="20"/>
        </w:rPr>
        <w:t>of the AHPRA website</w:t>
      </w:r>
    </w:p>
    <w:p w:rsidR="00FA5687" w:rsidRDefault="00FA5687" w:rsidP="00FA5687">
      <w:pPr>
        <w:pStyle w:val="Heading1non-numbered"/>
        <w:spacing w:before="0" w:after="120"/>
      </w:pPr>
      <w:r>
        <w:t>National drug screening protocol</w:t>
      </w:r>
    </w:p>
    <w:p w:rsidR="00FA5687" w:rsidRDefault="00FA5687" w:rsidP="00FA5687">
      <w:pPr>
        <w:spacing w:after="120"/>
        <w:rPr>
          <w:sz w:val="20"/>
          <w:szCs w:val="20"/>
        </w:rPr>
      </w:pPr>
      <w:r>
        <w:rPr>
          <w:sz w:val="20"/>
          <w:szCs w:val="20"/>
        </w:rPr>
        <w:t>AHPRA and the National Boards have published information on a national drug screening protocol that came into effect in November 2015.</w:t>
      </w:r>
    </w:p>
    <w:p w:rsidR="00FA5687" w:rsidRPr="003F7267" w:rsidRDefault="00FA5687" w:rsidP="00501F47">
      <w:pPr>
        <w:spacing w:before="240" w:after="240"/>
        <w:rPr>
          <w:sz w:val="20"/>
          <w:szCs w:val="20"/>
        </w:rPr>
      </w:pPr>
      <w:r w:rsidRPr="00FA5687">
        <w:rPr>
          <w:sz w:val="20"/>
          <w:szCs w:val="20"/>
        </w:rPr>
        <w:t>From November 2015, all podiatrists and podiatric surgeons who</w:t>
      </w:r>
      <w:r w:rsidRPr="003F7267">
        <w:rPr>
          <w:sz w:val="20"/>
          <w:szCs w:val="20"/>
        </w:rPr>
        <w:t xml:space="preserve"> have restrictions placed on their registration by the Board as a result of past substance misuse will have routine quarterly hair testing, in addition to random urine testing.</w:t>
      </w:r>
    </w:p>
    <w:p w:rsidR="00FA5687" w:rsidRPr="00DE79A1" w:rsidRDefault="00FA5687" w:rsidP="00501F47">
      <w:pPr>
        <w:spacing w:before="240" w:after="240"/>
        <w:rPr>
          <w:sz w:val="20"/>
          <w:szCs w:val="20"/>
        </w:rPr>
      </w:pPr>
      <w:r w:rsidRPr="00DE79A1">
        <w:rPr>
          <w:sz w:val="20"/>
          <w:szCs w:val="20"/>
        </w:rPr>
        <w:t>The intro</w:t>
      </w:r>
      <w:r w:rsidRPr="00B40CD2">
        <w:rPr>
          <w:sz w:val="20"/>
          <w:szCs w:val="20"/>
        </w:rPr>
        <w:t>duction of routine hair testing is based on expert advice about modern screening methods. Routine hair testing helps provide comprehensive information about the use – over time – of a wide range of drugs (not just based on the practitioner’s drug taking history).</w:t>
      </w:r>
    </w:p>
    <w:p w:rsidR="00FA5687" w:rsidRDefault="00FA5687" w:rsidP="00501F47">
      <w:pPr>
        <w:spacing w:before="240" w:after="240"/>
        <w:rPr>
          <w:sz w:val="20"/>
          <w:szCs w:val="20"/>
        </w:rPr>
      </w:pPr>
      <w:r w:rsidRPr="00B40CD2">
        <w:rPr>
          <w:sz w:val="20"/>
          <w:szCs w:val="20"/>
        </w:rPr>
        <w:t xml:space="preserve">The drug screening protocol is part of a wider, national strategy to effectively manage compliance and monitoring across the National Registration and Accreditation Scheme. More information is in the </w:t>
      </w:r>
      <w:hyperlink r:id="rId15" w:history="1">
        <w:r>
          <w:rPr>
            <w:rStyle w:val="Hyperlink"/>
            <w:sz w:val="20"/>
            <w:szCs w:val="20"/>
          </w:rPr>
          <w:t>statement</w:t>
        </w:r>
      </w:hyperlink>
      <w:r>
        <w:rPr>
          <w:sz w:val="20"/>
          <w:szCs w:val="20"/>
        </w:rPr>
        <w:t xml:space="preserve"> </w:t>
      </w:r>
      <w:r w:rsidRPr="00B40CD2">
        <w:rPr>
          <w:sz w:val="20"/>
          <w:szCs w:val="20"/>
        </w:rPr>
        <w:t>published on the Board’s website.</w:t>
      </w:r>
    </w:p>
    <w:p w:rsidR="00263ABD" w:rsidRDefault="00263ABD" w:rsidP="00263ABD">
      <w:pPr>
        <w:pStyle w:val="AHPRASubheading"/>
        <w:spacing w:after="120"/>
        <w:rPr>
          <w:b w:val="0"/>
          <w:bCs/>
          <w:color w:val="008EC4"/>
          <w:szCs w:val="20"/>
        </w:rPr>
      </w:pPr>
      <w:r w:rsidRPr="00C0048F">
        <w:rPr>
          <w:bCs/>
          <w:color w:val="008EC4"/>
          <w:szCs w:val="20"/>
        </w:rPr>
        <w:t>Snapshot of the registered podiatry workforce</w:t>
      </w:r>
    </w:p>
    <w:p w:rsidR="00A32EBD" w:rsidRDefault="00263ABD">
      <w:pPr>
        <w:pStyle w:val="AHPRAbody"/>
      </w:pPr>
      <w:r>
        <w:t xml:space="preserve">The Board publishes </w:t>
      </w:r>
      <w:hyperlink r:id="rId16" w:history="1">
        <w:r>
          <w:rPr>
            <w:rStyle w:val="Hyperlink"/>
            <w:szCs w:val="20"/>
          </w:rPr>
          <w:t>quarterly data</w:t>
        </w:r>
      </w:hyperlink>
      <w:r>
        <w:t xml:space="preserve"> profiling Australia’s podiatry workforce, including a number of statistic breakdowns about registrants. </w:t>
      </w:r>
    </w:p>
    <w:p w:rsidR="00A32EBD" w:rsidRDefault="00263ABD">
      <w:pPr>
        <w:pStyle w:val="AHPRAbody"/>
        <w:rPr>
          <w:b/>
          <w:bCs/>
          <w:color w:val="008EC4"/>
        </w:rPr>
      </w:pPr>
      <w:r>
        <w:t>The Board’s September 2015 data update, which was published on the Board’s website in early December, shows there are 4,399</w:t>
      </w:r>
      <w:r w:rsidRPr="002362A0">
        <w:t xml:space="preserve"> </w:t>
      </w:r>
      <w:r>
        <w:t xml:space="preserve">registered podiatry practitioners in Australia. Of these, 4,276 hold general registration as a podiatrist, 29 hold both general and specialist registration as a podiatric surgeon and 94 hold non-practising registration. </w:t>
      </w:r>
      <w:r w:rsidR="00BA4240">
        <w:t xml:space="preserve">It also shows </w:t>
      </w:r>
      <w:r>
        <w:t>70 practitioners have endorsement for scheduled medicines.</w:t>
      </w:r>
    </w:p>
    <w:p w:rsidR="00A32EBD" w:rsidRDefault="00BA4240">
      <w:pPr>
        <w:pStyle w:val="AHPRAbody"/>
      </w:pPr>
      <w:r>
        <w:rPr>
          <w:rFonts w:cs="Times New Roman"/>
          <w:b/>
          <w:color w:val="007DC3"/>
        </w:rPr>
        <w:t xml:space="preserve">Latest </w:t>
      </w:r>
      <w:r w:rsidR="00263ABD">
        <w:rPr>
          <w:rFonts w:cs="Times New Roman"/>
          <w:b/>
          <w:color w:val="007DC3"/>
        </w:rPr>
        <w:t>Podiatry Board newsletter</w:t>
      </w:r>
      <w:r>
        <w:rPr>
          <w:rFonts w:cs="Times New Roman"/>
          <w:b/>
          <w:color w:val="007DC3"/>
        </w:rPr>
        <w:t xml:space="preserve"> now available</w:t>
      </w:r>
    </w:p>
    <w:p w:rsidR="00A32EBD" w:rsidRDefault="00263ABD">
      <w:pPr>
        <w:pStyle w:val="AHPRAbody"/>
        <w:rPr>
          <w:rFonts w:cs="Times New Roman"/>
          <w:b/>
          <w:color w:val="007DC3"/>
          <w:szCs w:val="20"/>
        </w:rPr>
      </w:pPr>
      <w:r w:rsidRPr="00263ABD">
        <w:rPr>
          <w:lang w:eastAsia="en-AU"/>
        </w:rPr>
        <w:t xml:space="preserve">An electronic newsletter providing an update on a range of Board activities and practice related issues was emailed in November to registered podiatrists and podiatric surgeons. </w:t>
      </w:r>
      <w:r w:rsidRPr="00263ABD">
        <w:t xml:space="preserve">Practitioners who have not provided an email address can do so through the </w:t>
      </w:r>
      <w:hyperlink r:id="rId17" w:history="1">
        <w:r w:rsidRPr="00263ABD">
          <w:rPr>
            <w:rStyle w:val="Hyperlink"/>
            <w:szCs w:val="20"/>
          </w:rPr>
          <w:t>online services for practitioners</w:t>
        </w:r>
      </w:hyperlink>
      <w:r w:rsidRPr="00263ABD">
        <w:t xml:space="preserve">. </w:t>
      </w:r>
      <w:r w:rsidRPr="00263ABD">
        <w:rPr>
          <w:lang w:eastAsia="en-AU"/>
        </w:rPr>
        <w:t xml:space="preserve">A copy of the newsletter is available on the Board’s </w:t>
      </w:r>
      <w:hyperlink r:id="rId18" w:history="1">
        <w:r w:rsidRPr="00263ABD">
          <w:rPr>
            <w:rStyle w:val="Hyperlink"/>
            <w:szCs w:val="20"/>
            <w:lang w:eastAsia="en-AU"/>
          </w:rPr>
          <w:t>website</w:t>
        </w:r>
      </w:hyperlink>
      <w:r>
        <w:rPr>
          <w:lang w:eastAsia="en-AU"/>
        </w:rPr>
        <w:t>.</w:t>
      </w:r>
    </w:p>
    <w:p w:rsidR="004A3BBD" w:rsidRPr="00FC2AE2" w:rsidRDefault="004A3BBD" w:rsidP="004A3BBD">
      <w:pPr>
        <w:spacing w:before="200"/>
        <w:rPr>
          <w:rFonts w:cs="Arial"/>
          <w:b/>
          <w:bCs/>
          <w:sz w:val="20"/>
          <w:szCs w:val="20"/>
        </w:rPr>
      </w:pPr>
      <w:r>
        <w:rPr>
          <w:rFonts w:cs="Arial"/>
          <w:b/>
          <w:bCs/>
          <w:sz w:val="20"/>
          <w:szCs w:val="20"/>
        </w:rPr>
        <w:t>Podiatry Board of Australia</w:t>
      </w:r>
      <w:r w:rsidRPr="00FC2AE2">
        <w:rPr>
          <w:rFonts w:cs="Arial"/>
          <w:b/>
          <w:bCs/>
          <w:sz w:val="20"/>
          <w:szCs w:val="20"/>
        </w:rPr>
        <w:t xml:space="preserve"> profession profile</w:t>
      </w:r>
    </w:p>
    <w:p w:rsidR="004A3BBD" w:rsidRPr="00FC2AE2" w:rsidRDefault="004A3BBD" w:rsidP="00361DD5">
      <w:pPr>
        <w:pStyle w:val="AHPRAbody"/>
      </w:pPr>
      <w:r>
        <w:t>The Board will</w:t>
      </w:r>
      <w:r w:rsidRPr="00FC2AE2">
        <w:t xml:space="preserve"> also </w:t>
      </w:r>
      <w:r>
        <w:t>publish</w:t>
      </w:r>
      <w:r w:rsidRPr="00FC2AE2">
        <w:t xml:space="preserve"> a report </w:t>
      </w:r>
      <w:r>
        <w:t xml:space="preserve">in the new year </w:t>
      </w:r>
      <w:r w:rsidRPr="00FC2AE2">
        <w:t xml:space="preserve">of its work in regulating </w:t>
      </w:r>
      <w:r>
        <w:t xml:space="preserve">the podiatry </w:t>
      </w:r>
      <w:r w:rsidRPr="00FC2AE2">
        <w:t>professions in the National Scheme during 2014/15.</w:t>
      </w:r>
    </w:p>
    <w:p w:rsidR="004A3BBD" w:rsidRPr="00FC2AE2" w:rsidRDefault="004A3BBD" w:rsidP="00361DD5">
      <w:pPr>
        <w:pStyle w:val="AHPRAbody"/>
      </w:pPr>
      <w:r w:rsidRPr="00FC2AE2">
        <w:t>The report provides a profes</w:t>
      </w:r>
      <w:r>
        <w:t>sion-specific view of the Board’s</w:t>
      </w:r>
      <w:r w:rsidRPr="00FC2AE2">
        <w:t xml:space="preserve"> work to manage risk to the</w:t>
      </w:r>
      <w:r>
        <w:t xml:space="preserve"> public</w:t>
      </w:r>
      <w:r w:rsidRPr="00FC2AE2">
        <w:t>. It is a profile of regulation at work</w:t>
      </w:r>
      <w:r>
        <w:t xml:space="preserve"> for podiatrists and podiatric surgeons </w:t>
      </w:r>
      <w:r w:rsidRPr="00FC2AE2">
        <w:t>in Australia for the 12 months ending 30 June 2015.</w:t>
      </w:r>
    </w:p>
    <w:p w:rsidR="00A32EBD" w:rsidRDefault="004A3BBD" w:rsidP="00361DD5">
      <w:pPr>
        <w:pStyle w:val="AHPRAbody"/>
        <w:rPr>
          <w:b/>
          <w:bCs/>
          <w:color w:val="008EC4"/>
        </w:rPr>
      </w:pPr>
      <w:r w:rsidRPr="00FC2AE2">
        <w:t xml:space="preserve">The data in this report are drawn from data published in the </w:t>
      </w:r>
      <w:hyperlink r:id="rId19" w:history="1">
        <w:r w:rsidRPr="001A7B92">
          <w:rPr>
            <w:rStyle w:val="Hyperlink"/>
            <w:szCs w:val="20"/>
          </w:rPr>
          <w:t>2014/15 annual report</w:t>
        </w:r>
      </w:hyperlink>
      <w:r w:rsidRPr="00FC2AE2">
        <w:t xml:space="preserve"> of AHPRA and the National Boards, reporting on the National Scheme</w:t>
      </w:r>
      <w:r>
        <w:t xml:space="preserve"> and will be available soon on the </w:t>
      </w:r>
      <w:hyperlink r:id="rId20" w:history="1">
        <w:r>
          <w:rPr>
            <w:rStyle w:val="Hyperlink"/>
            <w:szCs w:val="20"/>
          </w:rPr>
          <w:t>AHPRA website</w:t>
        </w:r>
      </w:hyperlink>
      <w:r>
        <w:t>.</w:t>
      </w:r>
    </w:p>
    <w:p w:rsidR="00BD68DC" w:rsidRPr="00BD68DC" w:rsidRDefault="00BD68DC" w:rsidP="00501F47">
      <w:pPr>
        <w:spacing w:before="240" w:after="120" w:line="270" w:lineRule="atLeast"/>
        <w:ind w:right="270"/>
        <w:rPr>
          <w:rFonts w:cs="Arial"/>
          <w:b/>
          <w:bCs/>
          <w:color w:val="008EC4"/>
          <w:sz w:val="20"/>
          <w:szCs w:val="20"/>
        </w:rPr>
      </w:pPr>
      <w:r w:rsidRPr="00BD68DC">
        <w:rPr>
          <w:rFonts w:cs="Arial"/>
          <w:b/>
          <w:bCs/>
          <w:color w:val="008EC4"/>
          <w:sz w:val="20"/>
          <w:szCs w:val="20"/>
        </w:rPr>
        <w:t xml:space="preserve">Follow @AHPRA on Twitter </w:t>
      </w:r>
    </w:p>
    <w:p w:rsidR="00BD68DC" w:rsidRDefault="00BD68DC" w:rsidP="00361DD5">
      <w:pPr>
        <w:pStyle w:val="AHPRAbody"/>
        <w:rPr>
          <w:b/>
          <w:bCs/>
          <w:color w:val="008EC4"/>
        </w:rPr>
      </w:pPr>
      <w:r w:rsidRPr="00BD68DC">
        <w:rPr>
          <w:bCs/>
        </w:rPr>
        <w:t>AHPRA uses Twitter to encourage</w:t>
      </w:r>
      <w:r>
        <w:t xml:space="preserve"> greater discussion about National Board consultations and to host regular Twitter chats on important topics.</w:t>
      </w:r>
    </w:p>
    <w:p w:rsidR="00975AA1" w:rsidRPr="000B1523" w:rsidRDefault="00975AA1" w:rsidP="00501F47">
      <w:pPr>
        <w:spacing w:before="240" w:after="240" w:line="270" w:lineRule="atLeast"/>
        <w:ind w:right="270"/>
        <w:rPr>
          <w:rFonts w:cs="Arial"/>
          <w:b/>
          <w:bCs/>
          <w:color w:val="008EC4"/>
          <w:sz w:val="20"/>
          <w:szCs w:val="20"/>
        </w:rPr>
      </w:pPr>
      <w:r w:rsidRPr="000B1523">
        <w:rPr>
          <w:rFonts w:cs="Arial"/>
          <w:b/>
          <w:bCs/>
          <w:color w:val="008EC4"/>
          <w:sz w:val="20"/>
          <w:szCs w:val="20"/>
        </w:rPr>
        <w:t xml:space="preserve">Further information </w:t>
      </w:r>
    </w:p>
    <w:p w:rsidR="00975AA1" w:rsidRPr="00B478FC" w:rsidRDefault="00975AA1" w:rsidP="00A410B7">
      <w:pPr>
        <w:pStyle w:val="AHPRAbody"/>
        <w:rPr>
          <w:lang w:eastAsia="en-AU"/>
        </w:rPr>
      </w:pPr>
      <w:r w:rsidRPr="00B478FC">
        <w:rPr>
          <w:lang w:eastAsia="en-AU"/>
        </w:rPr>
        <w:t xml:space="preserve">Further information about the Board can be found on </w:t>
      </w:r>
      <w:r w:rsidR="00531C63">
        <w:rPr>
          <w:lang w:eastAsia="en-AU"/>
        </w:rPr>
        <w:t>i</w:t>
      </w:r>
      <w:r w:rsidR="00393DFB">
        <w:rPr>
          <w:lang w:eastAsia="en-AU"/>
        </w:rPr>
        <w:t>t</w:t>
      </w:r>
      <w:r w:rsidR="00531C63">
        <w:rPr>
          <w:lang w:eastAsia="en-AU"/>
        </w:rPr>
        <w:t>s</w:t>
      </w:r>
      <w:r w:rsidR="00393DFB" w:rsidRPr="00B478FC">
        <w:rPr>
          <w:lang w:eastAsia="en-AU"/>
        </w:rPr>
        <w:t xml:space="preserve"> </w:t>
      </w:r>
      <w:hyperlink r:id="rId21" w:history="1">
        <w:r w:rsidRPr="002E3447">
          <w:rPr>
            <w:rStyle w:val="Hyperlink"/>
            <w:lang w:eastAsia="en-AU"/>
          </w:rPr>
          <w:t>website</w:t>
        </w:r>
      </w:hyperlink>
      <w:r w:rsidRPr="00B478FC">
        <w:rPr>
          <w:lang w:eastAsia="en-AU"/>
        </w:rPr>
        <w:t xml:space="preserve"> and practitioners are encouraged to refer to the site for news and updates on </w:t>
      </w:r>
      <w:r w:rsidR="00393DFB">
        <w:rPr>
          <w:lang w:eastAsia="en-AU"/>
        </w:rPr>
        <w:t>p</w:t>
      </w:r>
      <w:r w:rsidR="00393DFB" w:rsidRPr="00B478FC">
        <w:rPr>
          <w:lang w:eastAsia="en-AU"/>
        </w:rPr>
        <w:t>olic</w:t>
      </w:r>
      <w:r w:rsidR="00393DFB">
        <w:rPr>
          <w:lang w:eastAsia="en-AU"/>
        </w:rPr>
        <w:t>ies</w:t>
      </w:r>
      <w:r w:rsidR="00393DFB" w:rsidRPr="00B478FC">
        <w:rPr>
          <w:lang w:eastAsia="en-AU"/>
        </w:rPr>
        <w:t xml:space="preserve"> </w:t>
      </w:r>
      <w:r w:rsidRPr="00B478FC">
        <w:rPr>
          <w:lang w:eastAsia="en-AU"/>
        </w:rPr>
        <w:t xml:space="preserve">and </w:t>
      </w:r>
      <w:r w:rsidR="00393DFB">
        <w:rPr>
          <w:lang w:eastAsia="en-AU"/>
        </w:rPr>
        <w:t>g</w:t>
      </w:r>
      <w:r w:rsidR="00393DFB" w:rsidRPr="00B478FC">
        <w:rPr>
          <w:lang w:eastAsia="en-AU"/>
        </w:rPr>
        <w:t xml:space="preserve">uidelines </w:t>
      </w:r>
      <w:r w:rsidRPr="00B478FC">
        <w:rPr>
          <w:lang w:eastAsia="en-AU"/>
        </w:rPr>
        <w:t xml:space="preserve">affecting their profession. </w:t>
      </w:r>
    </w:p>
    <w:p w:rsidR="00EB22A7" w:rsidRDefault="00EB22A7" w:rsidP="00975AA1">
      <w:pPr>
        <w:autoSpaceDE w:val="0"/>
        <w:autoSpaceDN w:val="0"/>
        <w:adjustRightInd w:val="0"/>
        <w:spacing w:after="0"/>
        <w:rPr>
          <w:rFonts w:cs="Arial"/>
          <w:color w:val="000000"/>
          <w:sz w:val="20"/>
          <w:szCs w:val="20"/>
          <w:lang w:eastAsia="en-AU"/>
        </w:rPr>
      </w:pPr>
    </w:p>
    <w:p w:rsidR="00975AA1" w:rsidRPr="00B478FC" w:rsidRDefault="00975AA1" w:rsidP="00975AA1">
      <w:pPr>
        <w:autoSpaceDE w:val="0"/>
        <w:autoSpaceDN w:val="0"/>
        <w:adjustRightInd w:val="0"/>
        <w:spacing w:after="0"/>
        <w:rPr>
          <w:rFonts w:cs="Arial"/>
          <w:color w:val="000000"/>
          <w:sz w:val="20"/>
          <w:szCs w:val="20"/>
          <w:lang w:eastAsia="en-AU"/>
        </w:rPr>
      </w:pPr>
      <w:r>
        <w:rPr>
          <w:rFonts w:cs="Arial"/>
          <w:color w:val="000000"/>
          <w:sz w:val="20"/>
          <w:szCs w:val="20"/>
          <w:lang w:eastAsia="en-AU"/>
        </w:rPr>
        <w:t>Cathy Loughry</w:t>
      </w:r>
    </w:p>
    <w:p w:rsidR="00975AA1" w:rsidRPr="00B478FC" w:rsidRDefault="00975AA1" w:rsidP="00975AA1">
      <w:pPr>
        <w:autoSpaceDE w:val="0"/>
        <w:autoSpaceDN w:val="0"/>
        <w:adjustRightInd w:val="0"/>
        <w:spacing w:after="0"/>
        <w:rPr>
          <w:rFonts w:cs="Arial"/>
          <w:color w:val="000000"/>
          <w:sz w:val="20"/>
          <w:szCs w:val="20"/>
          <w:lang w:eastAsia="en-AU"/>
        </w:rPr>
      </w:pPr>
      <w:r w:rsidRPr="00B478FC">
        <w:rPr>
          <w:rFonts w:cs="Arial"/>
          <w:color w:val="000000"/>
          <w:sz w:val="20"/>
          <w:szCs w:val="20"/>
          <w:lang w:eastAsia="en-AU"/>
        </w:rPr>
        <w:t xml:space="preserve">Chair </w:t>
      </w:r>
    </w:p>
    <w:p w:rsidR="00975AA1" w:rsidRPr="007663CA" w:rsidRDefault="00975AA1" w:rsidP="00975AA1">
      <w:pPr>
        <w:spacing w:after="0"/>
        <w:rPr>
          <w:rFonts w:cs="Arial"/>
          <w:b/>
          <w:color w:val="000000"/>
          <w:sz w:val="20"/>
          <w:szCs w:val="20"/>
          <w:lang w:eastAsia="en-AU"/>
        </w:rPr>
      </w:pPr>
      <w:r w:rsidRPr="007663CA">
        <w:rPr>
          <w:rFonts w:cs="Arial"/>
          <w:b/>
          <w:color w:val="000000"/>
          <w:sz w:val="20"/>
          <w:szCs w:val="20"/>
          <w:lang w:eastAsia="en-AU"/>
        </w:rPr>
        <w:t>Podiatry Board of Australia</w:t>
      </w:r>
    </w:p>
    <w:sectPr w:rsidR="00975AA1" w:rsidRPr="007663CA" w:rsidSect="004B438E">
      <w:headerReference w:type="default" r:id="rId22"/>
      <w:footerReference w:type="even" r:id="rId23"/>
      <w:footerReference w:type="default" r:id="rId24"/>
      <w:headerReference w:type="first" r:id="rId25"/>
      <w:footerReference w:type="first" r:id="rId26"/>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EBD" w:rsidRDefault="00A32EBD" w:rsidP="00FC2881">
      <w:pPr>
        <w:spacing w:after="0"/>
      </w:pPr>
      <w:r>
        <w:separator/>
      </w:r>
    </w:p>
    <w:p w:rsidR="00A32EBD" w:rsidRDefault="00A32EBD"/>
  </w:endnote>
  <w:endnote w:type="continuationSeparator" w:id="0">
    <w:p w:rsidR="00A32EBD" w:rsidRDefault="00A32EBD" w:rsidP="00FC2881">
      <w:pPr>
        <w:spacing w:after="0"/>
      </w:pPr>
      <w:r>
        <w:continuationSeparator/>
      </w:r>
    </w:p>
    <w:p w:rsidR="00A32EBD" w:rsidRDefault="00A32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BD" w:rsidRDefault="00CA166E" w:rsidP="00FC2881">
    <w:pPr>
      <w:pStyle w:val="AHPRAfootnote"/>
      <w:framePr w:wrap="around" w:vAnchor="text" w:hAnchor="margin" w:xAlign="right" w:y="1"/>
    </w:pPr>
    <w:r>
      <w:fldChar w:fldCharType="begin"/>
    </w:r>
    <w:r w:rsidR="00A32EBD">
      <w:instrText xml:space="preserve">PAGE  </w:instrText>
    </w:r>
    <w:r>
      <w:fldChar w:fldCharType="end"/>
    </w:r>
  </w:p>
  <w:p w:rsidR="00A32EBD" w:rsidRDefault="00A32EBD" w:rsidP="00FC2881">
    <w:pPr>
      <w:pStyle w:val="AHPRAfootnote"/>
      <w:ind w:right="360"/>
    </w:pPr>
  </w:p>
  <w:p w:rsidR="00A32EBD" w:rsidRDefault="00A32E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BD" w:rsidRPr="000E7E28" w:rsidRDefault="00A32EBD" w:rsidP="00975AA1">
    <w:pPr>
      <w:pStyle w:val="AHPRApagenumber"/>
      <w:jc w:val="left"/>
    </w:pPr>
    <w:r w:rsidRPr="004200F9">
      <w:rPr>
        <w:iCs/>
        <w:color w:val="008EC4"/>
        <w:szCs w:val="18"/>
      </w:rPr>
      <w:t>Podiatry Board of Australia communiqué</w:t>
    </w:r>
    <w:r>
      <w:rPr>
        <w:i/>
        <w:iCs/>
        <w:color w:val="008EC4"/>
        <w:szCs w:val="18"/>
      </w:rPr>
      <w:tab/>
    </w:r>
    <w:r>
      <w:rPr>
        <w:i/>
        <w:iCs/>
        <w:color w:val="008EC4"/>
        <w:szCs w:val="18"/>
      </w:rPr>
      <w:tab/>
      <w:t xml:space="preserve"> </w:t>
    </w:r>
    <w:sdt>
      <w:sdtPr>
        <w:id w:val="16333165"/>
        <w:docPartObj>
          <w:docPartGallery w:val="Page Numbers (Top of Page)"/>
          <w:docPartUnique/>
        </w:docPartObj>
      </w:sdtPr>
      <w:sdtEndPr/>
      <w:sdtContent>
        <w:r w:rsidRPr="000E7E28">
          <w:t xml:space="preserve">Page </w:t>
        </w:r>
        <w:r w:rsidR="00054800">
          <w:fldChar w:fldCharType="begin"/>
        </w:r>
        <w:r w:rsidR="00054800">
          <w:instrText xml:space="preserve"> PAGE </w:instrText>
        </w:r>
        <w:r w:rsidR="00054800">
          <w:fldChar w:fldCharType="separate"/>
        </w:r>
        <w:r w:rsidR="00054800">
          <w:rPr>
            <w:noProof/>
          </w:rPr>
          <w:t>3</w:t>
        </w:r>
        <w:r w:rsidR="00054800">
          <w:rPr>
            <w:noProof/>
          </w:rPr>
          <w:fldChar w:fldCharType="end"/>
        </w:r>
        <w:r w:rsidRPr="000E7E28">
          <w:t xml:space="preserve"> of </w:t>
        </w:r>
        <w:r w:rsidR="00054800">
          <w:fldChar w:fldCharType="begin"/>
        </w:r>
        <w:r w:rsidR="00054800">
          <w:instrText xml:space="preserve"> NUMPAGES  </w:instrText>
        </w:r>
        <w:r w:rsidR="00054800">
          <w:fldChar w:fldCharType="separate"/>
        </w:r>
        <w:r w:rsidR="00054800">
          <w:rPr>
            <w:noProof/>
          </w:rPr>
          <w:t>3</w:t>
        </w:r>
        <w:r w:rsidR="00054800">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BD" w:rsidRPr="004B2A4E" w:rsidRDefault="00A32EBD" w:rsidP="004B2A4E">
    <w:pPr>
      <w:pStyle w:val="Footer"/>
    </w:pPr>
    <w:r w:rsidRPr="004B2A4E">
      <w:rPr>
        <w:rFonts w:cs="Arial"/>
        <w:color w:val="5F6062"/>
        <w:sz w:val="18"/>
        <w:szCs w:val="20"/>
        <w:lang w:val="en-US"/>
      </w:rPr>
      <w:t xml:space="preserve">The Board is established under the </w:t>
    </w:r>
    <w:r w:rsidRPr="00104EFD">
      <w:rPr>
        <w:rFonts w:cs="Arial"/>
        <w:color w:val="5F6062"/>
        <w:sz w:val="18"/>
        <w:szCs w:val="20"/>
        <w:lang w:val="en-US"/>
      </w:rPr>
      <w:t>Health Practitioner Regulation National Law</w:t>
    </w:r>
    <w:r>
      <w:rPr>
        <w:rFonts w:cs="Arial"/>
        <w:color w:val="5F6062"/>
        <w:sz w:val="18"/>
        <w:szCs w:val="20"/>
        <w:lang w:val="en-US"/>
      </w:rPr>
      <w:t xml:space="preserve"> as in force in each state and territory </w:t>
    </w:r>
    <w:r w:rsidRPr="004B2A4E">
      <w:rPr>
        <w:rFonts w:cs="Arial"/>
        <w:i/>
        <w:color w:val="5F6062"/>
        <w:sz w:val="18"/>
        <w:szCs w:val="20"/>
        <w:lang w:val="en-US"/>
      </w:rPr>
      <w:t>(</w:t>
    </w:r>
    <w:r>
      <w:rPr>
        <w:rFonts w:cs="Arial"/>
        <w:color w:val="5F6062"/>
        <w:sz w:val="18"/>
        <w:szCs w:val="20"/>
        <w:lang w:val="en-US"/>
      </w:rPr>
      <w:t xml:space="preserve">the </w:t>
    </w:r>
    <w:r w:rsidRPr="004B2A4E">
      <w:rPr>
        <w:rFonts w:cs="Arial"/>
        <w:color w:val="5F6062"/>
        <w:sz w:val="18"/>
        <w:szCs w:val="20"/>
        <w:lang w:val="en-US"/>
      </w:rPr>
      <w:t xml:space="preserve">National Law).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EBD" w:rsidRDefault="00A32EBD" w:rsidP="000E7E28">
      <w:pPr>
        <w:spacing w:after="0"/>
      </w:pPr>
      <w:r>
        <w:separator/>
      </w:r>
    </w:p>
  </w:footnote>
  <w:footnote w:type="continuationSeparator" w:id="0">
    <w:p w:rsidR="00A32EBD" w:rsidRDefault="00A32EBD" w:rsidP="00FC2881">
      <w:pPr>
        <w:spacing w:after="0"/>
      </w:pPr>
      <w:r>
        <w:continuationSeparator/>
      </w:r>
    </w:p>
    <w:p w:rsidR="00A32EBD" w:rsidRDefault="00A32EBD"/>
  </w:footnote>
  <w:footnote w:type="continuationNotice" w:id="1">
    <w:p w:rsidR="00A32EBD" w:rsidRDefault="00A32EBD">
      <w:pPr>
        <w:spacing w:after="0"/>
      </w:pPr>
    </w:p>
  </w:footnote>
  <w:footnote w:id="2">
    <w:p w:rsidR="00A32EBD" w:rsidRPr="00882DFF" w:rsidRDefault="00A32EBD" w:rsidP="00EC1B72">
      <w:pPr>
        <w:pStyle w:val="FootnoteText"/>
      </w:pPr>
      <w:r>
        <w:rPr>
          <w:rStyle w:val="FootnoteReference"/>
        </w:rPr>
        <w:footnoteRef/>
      </w:r>
      <w:r>
        <w:t xml:space="preserve"> The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BD" w:rsidRPr="00315933" w:rsidRDefault="00A32EBD" w:rsidP="00D638E0">
    <w:pPr>
      <w:ind w:left="-1134" w:right="-567"/>
      <w:jc w:val="right"/>
    </w:pPr>
  </w:p>
  <w:p w:rsidR="00A32EBD" w:rsidRDefault="00A32E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BD" w:rsidRDefault="00A32EBD" w:rsidP="00E844A0">
    <w:r>
      <w:rPr>
        <w:noProof/>
        <w:lang w:eastAsia="en-AU"/>
      </w:rPr>
      <w:drawing>
        <wp:anchor distT="0" distB="0" distL="114300" distR="114300" simplePos="0" relativeHeight="251658240" behindDoc="0" locked="0" layoutInCell="1" allowOverlap="1">
          <wp:simplePos x="0" y="0"/>
          <wp:positionH relativeFrom="column">
            <wp:posOffset>4665980</wp:posOffset>
          </wp:positionH>
          <wp:positionV relativeFrom="paragraph">
            <wp:posOffset>133985</wp:posOffset>
          </wp:positionV>
          <wp:extent cx="1725930" cy="1800225"/>
          <wp:effectExtent l="0" t="0" r="0" b="0"/>
          <wp:wrapNone/>
          <wp:docPr id="3" name="Picture 1" descr="Podiat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odiatr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930" cy="1800225"/>
                  </a:xfrm>
                  <a:prstGeom prst="rect">
                    <a:avLst/>
                  </a:prstGeom>
                  <a:noFill/>
                  <a:ln>
                    <a:noFill/>
                  </a:ln>
                </pic:spPr>
              </pic:pic>
            </a:graphicData>
          </a:graphic>
        </wp:anchor>
      </w:drawing>
    </w:r>
  </w:p>
  <w:p w:rsidR="00A32EBD" w:rsidRDefault="00A32EBD" w:rsidP="00E844A0"/>
  <w:p w:rsidR="00A32EBD" w:rsidRDefault="00A32EBD" w:rsidP="00975AA1">
    <w:pPr>
      <w:jc w:val="right"/>
    </w:pPr>
  </w:p>
  <w:p w:rsidR="00A32EBD" w:rsidRDefault="00A32EBD"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45pt;height:3.45pt" o:bullet="t">
        <v:imagedata r:id="rId1" o:title="squaredotpoint-orange"/>
      </v:shape>
    </w:pict>
  </w:numPicBullet>
  <w:numPicBullet w:numPicBulletId="1">
    <w:pict>
      <v:shape id="_x0000_i1034" type="#_x0000_t75" style="width:3in;height:3in" o:bullet="t"/>
    </w:pict>
  </w:numPicBullet>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48192FC6"/>
    <w:multiLevelType w:val="hybridMultilevel"/>
    <w:tmpl w:val="6E308A7E"/>
    <w:lvl w:ilvl="0" w:tplc="BBCC2522">
      <w:start w:val="1"/>
      <w:numFmt w:val="bullet"/>
      <w:pStyle w:val="AHPRA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67032E"/>
    <w:multiLevelType w:val="hybridMultilevel"/>
    <w:tmpl w:val="6ED0B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657E97"/>
    <w:multiLevelType w:val="multilevel"/>
    <w:tmpl w:val="7F2880D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410BF"/>
    <w:multiLevelType w:val="multilevel"/>
    <w:tmpl w:val="5C7A0EF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31660"/>
    <w:multiLevelType w:val="multilevel"/>
    <w:tmpl w:val="C4183F12"/>
    <w:numStyleLink w:val="AHPRANumberedlist"/>
  </w:abstractNum>
  <w:num w:numId="1">
    <w:abstractNumId w:val="7"/>
  </w:num>
  <w:num w:numId="2">
    <w:abstractNumId w:val="3"/>
  </w:num>
  <w:num w:numId="3">
    <w:abstractNumId w:val="0"/>
  </w:num>
  <w:num w:numId="4">
    <w:abstractNumId w:val="2"/>
  </w:num>
  <w:num w:numId="5">
    <w:abstractNumId w:val="8"/>
  </w:num>
  <w:num w:numId="6">
    <w:abstractNumId w:val="1"/>
  </w:num>
  <w:num w:numId="7">
    <w:abstractNumId w:val="9"/>
  </w:num>
  <w:num w:numId="8">
    <w:abstractNumId w:val="6"/>
  </w:num>
  <w:num w:numId="9">
    <w:abstractNumId w:val="5"/>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4B2A4E"/>
    <w:rsid w:val="00000033"/>
    <w:rsid w:val="00003E0C"/>
    <w:rsid w:val="00006922"/>
    <w:rsid w:val="00010C4B"/>
    <w:rsid w:val="000334D7"/>
    <w:rsid w:val="000502E4"/>
    <w:rsid w:val="00054800"/>
    <w:rsid w:val="00071439"/>
    <w:rsid w:val="0007536F"/>
    <w:rsid w:val="000817B6"/>
    <w:rsid w:val="000945FB"/>
    <w:rsid w:val="00095FAE"/>
    <w:rsid w:val="000A4C8B"/>
    <w:rsid w:val="000A6BF7"/>
    <w:rsid w:val="000A7295"/>
    <w:rsid w:val="000B1523"/>
    <w:rsid w:val="000D3812"/>
    <w:rsid w:val="000D613E"/>
    <w:rsid w:val="000E36B3"/>
    <w:rsid w:val="000E6E60"/>
    <w:rsid w:val="000E719B"/>
    <w:rsid w:val="000E7E28"/>
    <w:rsid w:val="000F009A"/>
    <w:rsid w:val="000F5D90"/>
    <w:rsid w:val="001004E1"/>
    <w:rsid w:val="0010139F"/>
    <w:rsid w:val="00103F1C"/>
    <w:rsid w:val="00104EFD"/>
    <w:rsid w:val="00120711"/>
    <w:rsid w:val="00144DEF"/>
    <w:rsid w:val="001506FE"/>
    <w:rsid w:val="00192A33"/>
    <w:rsid w:val="00194C45"/>
    <w:rsid w:val="00196F14"/>
    <w:rsid w:val="001A6C6B"/>
    <w:rsid w:val="001B279D"/>
    <w:rsid w:val="001B798D"/>
    <w:rsid w:val="001C425C"/>
    <w:rsid w:val="001C71A5"/>
    <w:rsid w:val="001D4981"/>
    <w:rsid w:val="001E1E31"/>
    <w:rsid w:val="001E2849"/>
    <w:rsid w:val="001E4612"/>
    <w:rsid w:val="001E4A94"/>
    <w:rsid w:val="001E5621"/>
    <w:rsid w:val="00201C01"/>
    <w:rsid w:val="00205CED"/>
    <w:rsid w:val="00220A3B"/>
    <w:rsid w:val="002231C8"/>
    <w:rsid w:val="00224708"/>
    <w:rsid w:val="0024451E"/>
    <w:rsid w:val="00246536"/>
    <w:rsid w:val="00263ABD"/>
    <w:rsid w:val="00267352"/>
    <w:rsid w:val="002708F2"/>
    <w:rsid w:val="00273D95"/>
    <w:rsid w:val="0027644D"/>
    <w:rsid w:val="0027712B"/>
    <w:rsid w:val="0028013F"/>
    <w:rsid w:val="002851A4"/>
    <w:rsid w:val="00293816"/>
    <w:rsid w:val="00295B44"/>
    <w:rsid w:val="002A0C96"/>
    <w:rsid w:val="002B2D48"/>
    <w:rsid w:val="002C08FB"/>
    <w:rsid w:val="002C0BBC"/>
    <w:rsid w:val="002C3085"/>
    <w:rsid w:val="002C34EA"/>
    <w:rsid w:val="002E3447"/>
    <w:rsid w:val="003008A3"/>
    <w:rsid w:val="00303BE1"/>
    <w:rsid w:val="00305AFC"/>
    <w:rsid w:val="00305B6E"/>
    <w:rsid w:val="003160FE"/>
    <w:rsid w:val="00330224"/>
    <w:rsid w:val="003354E4"/>
    <w:rsid w:val="00344CD5"/>
    <w:rsid w:val="00361DD5"/>
    <w:rsid w:val="003808A1"/>
    <w:rsid w:val="00381A8E"/>
    <w:rsid w:val="00382F3A"/>
    <w:rsid w:val="00393516"/>
    <w:rsid w:val="00393DFB"/>
    <w:rsid w:val="003A12C9"/>
    <w:rsid w:val="003B0628"/>
    <w:rsid w:val="003D03EE"/>
    <w:rsid w:val="003D6DBD"/>
    <w:rsid w:val="003E00B5"/>
    <w:rsid w:val="003E3268"/>
    <w:rsid w:val="003F2F06"/>
    <w:rsid w:val="0040172B"/>
    <w:rsid w:val="00405C0A"/>
    <w:rsid w:val="00410235"/>
    <w:rsid w:val="00414F2C"/>
    <w:rsid w:val="004200F9"/>
    <w:rsid w:val="0043111F"/>
    <w:rsid w:val="00437428"/>
    <w:rsid w:val="00440B8D"/>
    <w:rsid w:val="00450B34"/>
    <w:rsid w:val="0045190A"/>
    <w:rsid w:val="00452D29"/>
    <w:rsid w:val="0045740A"/>
    <w:rsid w:val="004606A7"/>
    <w:rsid w:val="00464E94"/>
    <w:rsid w:val="004767C2"/>
    <w:rsid w:val="004A3BBD"/>
    <w:rsid w:val="004A5E5D"/>
    <w:rsid w:val="004B2A4E"/>
    <w:rsid w:val="004B3243"/>
    <w:rsid w:val="004B36DC"/>
    <w:rsid w:val="004B3B50"/>
    <w:rsid w:val="004B438E"/>
    <w:rsid w:val="004B747B"/>
    <w:rsid w:val="004D270B"/>
    <w:rsid w:val="004D7537"/>
    <w:rsid w:val="004F572D"/>
    <w:rsid w:val="004F5C05"/>
    <w:rsid w:val="00501F47"/>
    <w:rsid w:val="00516EF2"/>
    <w:rsid w:val="00531C63"/>
    <w:rsid w:val="00533D0E"/>
    <w:rsid w:val="0053749F"/>
    <w:rsid w:val="00546B56"/>
    <w:rsid w:val="00553A4C"/>
    <w:rsid w:val="00554335"/>
    <w:rsid w:val="005565CE"/>
    <w:rsid w:val="005708AE"/>
    <w:rsid w:val="00571E0B"/>
    <w:rsid w:val="00597D97"/>
    <w:rsid w:val="005A0FA9"/>
    <w:rsid w:val="005B7F1F"/>
    <w:rsid w:val="005C296B"/>
    <w:rsid w:val="005C5932"/>
    <w:rsid w:val="005C6817"/>
    <w:rsid w:val="005C6F14"/>
    <w:rsid w:val="005E1B15"/>
    <w:rsid w:val="005F2169"/>
    <w:rsid w:val="005F2BDE"/>
    <w:rsid w:val="005F51FB"/>
    <w:rsid w:val="00616043"/>
    <w:rsid w:val="00623CC9"/>
    <w:rsid w:val="00626644"/>
    <w:rsid w:val="00640B2C"/>
    <w:rsid w:val="006476D9"/>
    <w:rsid w:val="00650A78"/>
    <w:rsid w:val="00657642"/>
    <w:rsid w:val="00667CAD"/>
    <w:rsid w:val="00670F48"/>
    <w:rsid w:val="00672A98"/>
    <w:rsid w:val="00677399"/>
    <w:rsid w:val="006805D6"/>
    <w:rsid w:val="00681D5E"/>
    <w:rsid w:val="00683E00"/>
    <w:rsid w:val="00691253"/>
    <w:rsid w:val="0069638D"/>
    <w:rsid w:val="006C0257"/>
    <w:rsid w:val="006C0E29"/>
    <w:rsid w:val="006C2C07"/>
    <w:rsid w:val="006D30FE"/>
    <w:rsid w:val="006D3757"/>
    <w:rsid w:val="006D45FD"/>
    <w:rsid w:val="006D6D35"/>
    <w:rsid w:val="006E01C1"/>
    <w:rsid w:val="006E44BA"/>
    <w:rsid w:val="006F0DAB"/>
    <w:rsid w:val="006F2735"/>
    <w:rsid w:val="006F585B"/>
    <w:rsid w:val="006F7348"/>
    <w:rsid w:val="006F796D"/>
    <w:rsid w:val="0070155F"/>
    <w:rsid w:val="00704D10"/>
    <w:rsid w:val="00705F33"/>
    <w:rsid w:val="00711301"/>
    <w:rsid w:val="00713A7E"/>
    <w:rsid w:val="00722628"/>
    <w:rsid w:val="0072358E"/>
    <w:rsid w:val="00725F23"/>
    <w:rsid w:val="007316EA"/>
    <w:rsid w:val="00735191"/>
    <w:rsid w:val="00735843"/>
    <w:rsid w:val="007372A4"/>
    <w:rsid w:val="00741B04"/>
    <w:rsid w:val="00757837"/>
    <w:rsid w:val="0076115C"/>
    <w:rsid w:val="007663CA"/>
    <w:rsid w:val="007664F3"/>
    <w:rsid w:val="00767F24"/>
    <w:rsid w:val="00790DEA"/>
    <w:rsid w:val="0079197C"/>
    <w:rsid w:val="007953FD"/>
    <w:rsid w:val="007A35B9"/>
    <w:rsid w:val="007A6485"/>
    <w:rsid w:val="007B77D6"/>
    <w:rsid w:val="007C0B6E"/>
    <w:rsid w:val="007C15E1"/>
    <w:rsid w:val="007C19C9"/>
    <w:rsid w:val="007C2E55"/>
    <w:rsid w:val="007D4836"/>
    <w:rsid w:val="007D6CFE"/>
    <w:rsid w:val="007E2C84"/>
    <w:rsid w:val="007E3545"/>
    <w:rsid w:val="007E7837"/>
    <w:rsid w:val="007F0095"/>
    <w:rsid w:val="008007C0"/>
    <w:rsid w:val="00801D9E"/>
    <w:rsid w:val="0081058C"/>
    <w:rsid w:val="00810F7A"/>
    <w:rsid w:val="00815D4D"/>
    <w:rsid w:val="00823AB7"/>
    <w:rsid w:val="008338F7"/>
    <w:rsid w:val="00836397"/>
    <w:rsid w:val="0084183D"/>
    <w:rsid w:val="00845054"/>
    <w:rsid w:val="00852D1C"/>
    <w:rsid w:val="00856147"/>
    <w:rsid w:val="00860F40"/>
    <w:rsid w:val="008615C9"/>
    <w:rsid w:val="00864020"/>
    <w:rsid w:val="00875FE3"/>
    <w:rsid w:val="00892B3A"/>
    <w:rsid w:val="008979D5"/>
    <w:rsid w:val="008A4C3B"/>
    <w:rsid w:val="008B2AD7"/>
    <w:rsid w:val="008B54DD"/>
    <w:rsid w:val="008C355B"/>
    <w:rsid w:val="008D6B7E"/>
    <w:rsid w:val="008D7845"/>
    <w:rsid w:val="008E021A"/>
    <w:rsid w:val="008F4B4F"/>
    <w:rsid w:val="00901B7B"/>
    <w:rsid w:val="00902C84"/>
    <w:rsid w:val="00903142"/>
    <w:rsid w:val="009031EA"/>
    <w:rsid w:val="00923B23"/>
    <w:rsid w:val="00933374"/>
    <w:rsid w:val="00937ED0"/>
    <w:rsid w:val="00941C87"/>
    <w:rsid w:val="00942C26"/>
    <w:rsid w:val="00952797"/>
    <w:rsid w:val="00953DEF"/>
    <w:rsid w:val="00975AA1"/>
    <w:rsid w:val="009777D3"/>
    <w:rsid w:val="0098204B"/>
    <w:rsid w:val="0098290A"/>
    <w:rsid w:val="00983D60"/>
    <w:rsid w:val="009859E6"/>
    <w:rsid w:val="009936B9"/>
    <w:rsid w:val="0099508D"/>
    <w:rsid w:val="009A0A5D"/>
    <w:rsid w:val="009C6933"/>
    <w:rsid w:val="009E1EEE"/>
    <w:rsid w:val="009E6FA2"/>
    <w:rsid w:val="009F1B7F"/>
    <w:rsid w:val="009F2C17"/>
    <w:rsid w:val="00A029A8"/>
    <w:rsid w:val="00A04C7A"/>
    <w:rsid w:val="00A058E5"/>
    <w:rsid w:val="00A10C1A"/>
    <w:rsid w:val="00A1660D"/>
    <w:rsid w:val="00A20417"/>
    <w:rsid w:val="00A2072E"/>
    <w:rsid w:val="00A237BB"/>
    <w:rsid w:val="00A27F29"/>
    <w:rsid w:val="00A32EBD"/>
    <w:rsid w:val="00A365A1"/>
    <w:rsid w:val="00A410B7"/>
    <w:rsid w:val="00A458ED"/>
    <w:rsid w:val="00A4648A"/>
    <w:rsid w:val="00A50013"/>
    <w:rsid w:val="00A509AB"/>
    <w:rsid w:val="00A56C62"/>
    <w:rsid w:val="00A61BCD"/>
    <w:rsid w:val="00A82078"/>
    <w:rsid w:val="00A838C8"/>
    <w:rsid w:val="00A91C42"/>
    <w:rsid w:val="00A9516B"/>
    <w:rsid w:val="00A96DC3"/>
    <w:rsid w:val="00A9780A"/>
    <w:rsid w:val="00AA00AF"/>
    <w:rsid w:val="00AA2FC9"/>
    <w:rsid w:val="00AA42BC"/>
    <w:rsid w:val="00AA7AC9"/>
    <w:rsid w:val="00AB283D"/>
    <w:rsid w:val="00AB4DB6"/>
    <w:rsid w:val="00AC0415"/>
    <w:rsid w:val="00AC0445"/>
    <w:rsid w:val="00AD312E"/>
    <w:rsid w:val="00AE3EAF"/>
    <w:rsid w:val="00B024B0"/>
    <w:rsid w:val="00B03FB8"/>
    <w:rsid w:val="00B166B9"/>
    <w:rsid w:val="00B17ACF"/>
    <w:rsid w:val="00B24F1F"/>
    <w:rsid w:val="00B26440"/>
    <w:rsid w:val="00B32284"/>
    <w:rsid w:val="00B34EDA"/>
    <w:rsid w:val="00B361D8"/>
    <w:rsid w:val="00B37020"/>
    <w:rsid w:val="00B46F29"/>
    <w:rsid w:val="00B51748"/>
    <w:rsid w:val="00B57198"/>
    <w:rsid w:val="00B664A0"/>
    <w:rsid w:val="00B6713F"/>
    <w:rsid w:val="00B67A02"/>
    <w:rsid w:val="00B7186B"/>
    <w:rsid w:val="00B7762E"/>
    <w:rsid w:val="00B85023"/>
    <w:rsid w:val="00BA2456"/>
    <w:rsid w:val="00BA4240"/>
    <w:rsid w:val="00BA469B"/>
    <w:rsid w:val="00BA6F40"/>
    <w:rsid w:val="00BB1A20"/>
    <w:rsid w:val="00BB2FEF"/>
    <w:rsid w:val="00BB4A5B"/>
    <w:rsid w:val="00BC2889"/>
    <w:rsid w:val="00BC63F4"/>
    <w:rsid w:val="00BD68DC"/>
    <w:rsid w:val="00BF2534"/>
    <w:rsid w:val="00BF79DC"/>
    <w:rsid w:val="00C0048F"/>
    <w:rsid w:val="00C0793A"/>
    <w:rsid w:val="00C10FEE"/>
    <w:rsid w:val="00C175EF"/>
    <w:rsid w:val="00C33925"/>
    <w:rsid w:val="00C35DE1"/>
    <w:rsid w:val="00C3795C"/>
    <w:rsid w:val="00C4082A"/>
    <w:rsid w:val="00C43196"/>
    <w:rsid w:val="00C43E21"/>
    <w:rsid w:val="00C45C6E"/>
    <w:rsid w:val="00C524AA"/>
    <w:rsid w:val="00C540AA"/>
    <w:rsid w:val="00C54689"/>
    <w:rsid w:val="00C657B9"/>
    <w:rsid w:val="00C80113"/>
    <w:rsid w:val="00C81B3A"/>
    <w:rsid w:val="00C844D3"/>
    <w:rsid w:val="00C8721A"/>
    <w:rsid w:val="00C96D34"/>
    <w:rsid w:val="00CA0CB4"/>
    <w:rsid w:val="00CA166E"/>
    <w:rsid w:val="00CB3079"/>
    <w:rsid w:val="00CB6C08"/>
    <w:rsid w:val="00CD0DCA"/>
    <w:rsid w:val="00CD5405"/>
    <w:rsid w:val="00D106BC"/>
    <w:rsid w:val="00D12F61"/>
    <w:rsid w:val="00D201C6"/>
    <w:rsid w:val="00D21774"/>
    <w:rsid w:val="00D438C3"/>
    <w:rsid w:val="00D44D2B"/>
    <w:rsid w:val="00D460DA"/>
    <w:rsid w:val="00D50355"/>
    <w:rsid w:val="00D54128"/>
    <w:rsid w:val="00D62690"/>
    <w:rsid w:val="00D6371B"/>
    <w:rsid w:val="00D638E0"/>
    <w:rsid w:val="00D65E8A"/>
    <w:rsid w:val="00D716BA"/>
    <w:rsid w:val="00D8404D"/>
    <w:rsid w:val="00D87C12"/>
    <w:rsid w:val="00D92B80"/>
    <w:rsid w:val="00DA00C3"/>
    <w:rsid w:val="00DA39AA"/>
    <w:rsid w:val="00DB0A73"/>
    <w:rsid w:val="00DC2952"/>
    <w:rsid w:val="00DD2557"/>
    <w:rsid w:val="00DE16F7"/>
    <w:rsid w:val="00DF1AB7"/>
    <w:rsid w:val="00DF5DC1"/>
    <w:rsid w:val="00E01B91"/>
    <w:rsid w:val="00E07C02"/>
    <w:rsid w:val="00E12B06"/>
    <w:rsid w:val="00E15BF6"/>
    <w:rsid w:val="00E16B83"/>
    <w:rsid w:val="00E37A55"/>
    <w:rsid w:val="00E46122"/>
    <w:rsid w:val="00E54005"/>
    <w:rsid w:val="00E60092"/>
    <w:rsid w:val="00E715E9"/>
    <w:rsid w:val="00E71CB9"/>
    <w:rsid w:val="00E73698"/>
    <w:rsid w:val="00E77E23"/>
    <w:rsid w:val="00E8251C"/>
    <w:rsid w:val="00E844A0"/>
    <w:rsid w:val="00E868A9"/>
    <w:rsid w:val="00EA7766"/>
    <w:rsid w:val="00EB22A7"/>
    <w:rsid w:val="00EC1B72"/>
    <w:rsid w:val="00EC2949"/>
    <w:rsid w:val="00ED1D00"/>
    <w:rsid w:val="00EE4685"/>
    <w:rsid w:val="00EF27C1"/>
    <w:rsid w:val="00F13ED2"/>
    <w:rsid w:val="00F27ACB"/>
    <w:rsid w:val="00F3616F"/>
    <w:rsid w:val="00F505CB"/>
    <w:rsid w:val="00F51875"/>
    <w:rsid w:val="00F54217"/>
    <w:rsid w:val="00F6618F"/>
    <w:rsid w:val="00F66921"/>
    <w:rsid w:val="00F70DD5"/>
    <w:rsid w:val="00F73165"/>
    <w:rsid w:val="00F77B34"/>
    <w:rsid w:val="00F8176C"/>
    <w:rsid w:val="00F82206"/>
    <w:rsid w:val="00F8289A"/>
    <w:rsid w:val="00F90BCE"/>
    <w:rsid w:val="00F97880"/>
    <w:rsid w:val="00FA29C4"/>
    <w:rsid w:val="00FA5687"/>
    <w:rsid w:val="00FB7894"/>
    <w:rsid w:val="00FC2881"/>
    <w:rsid w:val="00FD30A7"/>
    <w:rsid w:val="00FD776B"/>
    <w:rsid w:val="00FD7DC1"/>
    <w:rsid w:val="00FE2CBD"/>
    <w:rsid w:val="00FE3F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AutoShape 3"/>
      </o:rules>
    </o:shapelayout>
  </w:shapeDefaults>
  <w:decimalSymbol w:val="."/>
  <w:listSeparator w:val=","/>
  <w15:docId w15:val="{93DEE2F7-0B2A-43F4-BFAE-88DD4784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A628F"/>
    <w:rPr>
      <w:rFonts w:ascii="Lucida Grande" w:hAnsi="Lucida Grande" w:cs="Lucida Grande"/>
      <w:sz w:val="18"/>
      <w:szCs w:val="18"/>
    </w:rPr>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Headline">
    <w:name w:val="AHPRA Headline"/>
    <w:basedOn w:val="Normal"/>
    <w:qFormat/>
    <w:rsid w:val="00975AA1"/>
    <w:rPr>
      <w:color w:val="008EC4"/>
      <w:sz w:val="28"/>
      <w:lang w:val="en-US"/>
    </w:rPr>
  </w:style>
  <w:style w:type="paragraph" w:styleId="ListParagraph">
    <w:name w:val="List Paragraph"/>
    <w:basedOn w:val="Normal"/>
    <w:link w:val="ListParagraphChar"/>
    <w:uiPriority w:val="34"/>
    <w:qFormat/>
    <w:rsid w:val="00975AA1"/>
    <w:pPr>
      <w:spacing w:line="276" w:lineRule="auto"/>
      <w:ind w:left="720"/>
    </w:pPr>
    <w:rPr>
      <w:rFonts w:ascii="Calibri" w:eastAsia="Times New Roman" w:hAnsi="Calibri"/>
      <w:sz w:val="22"/>
      <w:szCs w:val="22"/>
    </w:rPr>
  </w:style>
  <w:style w:type="character" w:customStyle="1" w:styleId="ListParagraphChar">
    <w:name w:val="List Paragraph Char"/>
    <w:link w:val="ListParagraph"/>
    <w:uiPriority w:val="34"/>
    <w:locked/>
    <w:rsid w:val="00975AA1"/>
    <w:rPr>
      <w:rFonts w:ascii="Calibri" w:eastAsia="Times New Roman" w:hAnsi="Calibri"/>
      <w:sz w:val="22"/>
      <w:szCs w:val="22"/>
      <w:lang w:val="en-AU"/>
    </w:rPr>
  </w:style>
  <w:style w:type="paragraph" w:styleId="Footer">
    <w:name w:val="footer"/>
    <w:basedOn w:val="Normal"/>
    <w:link w:val="FooterChar"/>
    <w:uiPriority w:val="99"/>
    <w:rsid w:val="004B2A4E"/>
    <w:pPr>
      <w:tabs>
        <w:tab w:val="center" w:pos="4513"/>
        <w:tab w:val="right" w:pos="9026"/>
      </w:tabs>
      <w:spacing w:after="0"/>
    </w:pPr>
  </w:style>
  <w:style w:type="character" w:customStyle="1" w:styleId="FooterChar">
    <w:name w:val="Footer Char"/>
    <w:basedOn w:val="DefaultParagraphFont"/>
    <w:link w:val="Footer"/>
    <w:uiPriority w:val="99"/>
    <w:rsid w:val="004B2A4E"/>
    <w:rPr>
      <w:sz w:val="24"/>
      <w:szCs w:val="24"/>
      <w:lang w:val="en-AU"/>
    </w:rPr>
  </w:style>
  <w:style w:type="paragraph" w:customStyle="1" w:styleId="Default">
    <w:name w:val="Default"/>
    <w:rsid w:val="00CB3079"/>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1"/>
    <w:semiHidden/>
    <w:unhideWhenUsed/>
    <w:rsid w:val="00533D0E"/>
    <w:rPr>
      <w:color w:val="800080" w:themeColor="followedHyperlink"/>
      <w:u w:val="single"/>
    </w:rPr>
  </w:style>
  <w:style w:type="character" w:styleId="CommentReference">
    <w:name w:val="annotation reference"/>
    <w:basedOn w:val="DefaultParagraphFont"/>
    <w:uiPriority w:val="1"/>
    <w:semiHidden/>
    <w:unhideWhenUsed/>
    <w:rsid w:val="007C2E55"/>
    <w:rPr>
      <w:sz w:val="16"/>
      <w:szCs w:val="16"/>
    </w:rPr>
  </w:style>
  <w:style w:type="paragraph" w:styleId="CommentText">
    <w:name w:val="annotation text"/>
    <w:basedOn w:val="Normal"/>
    <w:link w:val="CommentTextChar"/>
    <w:uiPriority w:val="1"/>
    <w:semiHidden/>
    <w:unhideWhenUsed/>
    <w:rsid w:val="007C2E55"/>
    <w:rPr>
      <w:sz w:val="20"/>
      <w:szCs w:val="20"/>
    </w:rPr>
  </w:style>
  <w:style w:type="character" w:customStyle="1" w:styleId="CommentTextChar">
    <w:name w:val="Comment Text Char"/>
    <w:basedOn w:val="DefaultParagraphFont"/>
    <w:link w:val="CommentText"/>
    <w:uiPriority w:val="1"/>
    <w:semiHidden/>
    <w:rsid w:val="007C2E55"/>
    <w:rPr>
      <w:lang w:val="en-AU"/>
    </w:rPr>
  </w:style>
  <w:style w:type="paragraph" w:styleId="CommentSubject">
    <w:name w:val="annotation subject"/>
    <w:basedOn w:val="CommentText"/>
    <w:next w:val="CommentText"/>
    <w:link w:val="CommentSubjectChar"/>
    <w:uiPriority w:val="1"/>
    <w:semiHidden/>
    <w:unhideWhenUsed/>
    <w:rsid w:val="007C2E55"/>
    <w:rPr>
      <w:b/>
      <w:bCs/>
    </w:rPr>
  </w:style>
  <w:style w:type="character" w:customStyle="1" w:styleId="CommentSubjectChar">
    <w:name w:val="Comment Subject Char"/>
    <w:basedOn w:val="CommentTextChar"/>
    <w:link w:val="CommentSubject"/>
    <w:uiPriority w:val="1"/>
    <w:semiHidden/>
    <w:rsid w:val="007C2E55"/>
    <w:rPr>
      <w:b/>
      <w:bCs/>
      <w:lang w:val="en-AU"/>
    </w:rPr>
  </w:style>
  <w:style w:type="paragraph" w:styleId="Revision">
    <w:name w:val="Revision"/>
    <w:hidden/>
    <w:semiHidden/>
    <w:rsid w:val="007C2E55"/>
    <w:rPr>
      <w:sz w:val="24"/>
      <w:szCs w:val="24"/>
      <w:lang w:val="en-AU"/>
    </w:rPr>
  </w:style>
  <w:style w:type="character" w:customStyle="1" w:styleId="AHPRASubheadingChar">
    <w:name w:val="AHPRA Subheading Char"/>
    <w:basedOn w:val="DefaultParagraphFont"/>
    <w:link w:val="AHPRASubheading"/>
    <w:locked/>
    <w:rsid w:val="004B36DC"/>
    <w:rPr>
      <w:b/>
      <w:color w:val="007DC3"/>
      <w:szCs w:val="24"/>
      <w:lang w:val="en-AU"/>
    </w:rPr>
  </w:style>
  <w:style w:type="paragraph" w:customStyle="1" w:styleId="AHPRABody0">
    <w:name w:val="AHPRA Body"/>
    <w:basedOn w:val="Normal"/>
    <w:rsid w:val="00F97880"/>
    <w:pPr>
      <w:spacing w:after="0"/>
    </w:pPr>
    <w:rPr>
      <w:rFonts w:eastAsiaTheme="minorHAnsi" w:cs="Arial"/>
      <w:sz w:val="20"/>
      <w:szCs w:val="20"/>
      <w:lang w:eastAsia="en-AU"/>
    </w:rPr>
  </w:style>
  <w:style w:type="paragraph" w:customStyle="1" w:styleId="AHPRASubhead">
    <w:name w:val="AHPRA Subhead"/>
    <w:basedOn w:val="Normal"/>
    <w:qFormat/>
    <w:rsid w:val="008C355B"/>
    <w:rPr>
      <w:b/>
      <w:color w:val="008EC4"/>
      <w:sz w:val="20"/>
    </w:rPr>
  </w:style>
  <w:style w:type="paragraph" w:styleId="BodyText">
    <w:name w:val="Body Text"/>
    <w:basedOn w:val="Normal"/>
    <w:link w:val="BodyTextChar"/>
    <w:uiPriority w:val="99"/>
    <w:unhideWhenUsed/>
    <w:qFormat/>
    <w:rsid w:val="008C355B"/>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8C355B"/>
    <w:rPr>
      <w:rFonts w:eastAsia="Times New Roman" w:cstheme="minorBidi"/>
      <w:lang w:val="en-AU" w:eastAsia="en-AU"/>
    </w:rPr>
  </w:style>
  <w:style w:type="character" w:styleId="Strong">
    <w:name w:val="Strong"/>
    <w:basedOn w:val="DefaultParagraphFont"/>
    <w:uiPriority w:val="22"/>
    <w:qFormat/>
    <w:rsid w:val="0069638D"/>
    <w:rPr>
      <w:b/>
      <w:bCs/>
      <w:i w:val="0"/>
      <w:iCs w:val="0"/>
    </w:rPr>
  </w:style>
  <w:style w:type="paragraph" w:customStyle="1" w:styleId="Heading1non-numbered">
    <w:name w:val="Heading 1 non-numbered"/>
    <w:basedOn w:val="Heading1"/>
    <w:next w:val="BodyText"/>
    <w:qFormat/>
    <w:rsid w:val="00FA5687"/>
    <w:pPr>
      <w:keepNext w:val="0"/>
      <w:spacing w:before="200" w:after="200"/>
    </w:pPr>
    <w:rPr>
      <w:rFonts w:ascii="Arial" w:eastAsia="Cambria" w:hAnsi="Arial" w:cs="Times New Roman"/>
      <w:bCs w:val="0"/>
      <w:color w:val="007DC3"/>
      <w:kern w:val="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051">
      <w:bodyDiv w:val="1"/>
      <w:marLeft w:val="0"/>
      <w:marRight w:val="0"/>
      <w:marTop w:val="0"/>
      <w:marBottom w:val="0"/>
      <w:divBdr>
        <w:top w:val="none" w:sz="0" w:space="0" w:color="auto"/>
        <w:left w:val="none" w:sz="0" w:space="0" w:color="auto"/>
        <w:bottom w:val="none" w:sz="0" w:space="0" w:color="auto"/>
        <w:right w:val="none" w:sz="0" w:space="0" w:color="auto"/>
      </w:divBdr>
      <w:divsChild>
        <w:div w:id="516191447">
          <w:marLeft w:val="0"/>
          <w:marRight w:val="0"/>
          <w:marTop w:val="0"/>
          <w:marBottom w:val="0"/>
          <w:divBdr>
            <w:top w:val="none" w:sz="0" w:space="0" w:color="auto"/>
            <w:left w:val="none" w:sz="0" w:space="0" w:color="auto"/>
            <w:bottom w:val="none" w:sz="0" w:space="0" w:color="auto"/>
            <w:right w:val="none" w:sz="0" w:space="0" w:color="auto"/>
          </w:divBdr>
          <w:divsChild>
            <w:div w:id="1728335738">
              <w:marLeft w:val="0"/>
              <w:marRight w:val="0"/>
              <w:marTop w:val="0"/>
              <w:marBottom w:val="0"/>
              <w:divBdr>
                <w:top w:val="none" w:sz="0" w:space="0" w:color="auto"/>
                <w:left w:val="none" w:sz="0" w:space="0" w:color="auto"/>
                <w:bottom w:val="none" w:sz="0" w:space="0" w:color="auto"/>
                <w:right w:val="none" w:sz="0" w:space="0" w:color="auto"/>
              </w:divBdr>
              <w:divsChild>
                <w:div w:id="511797661">
                  <w:marLeft w:val="0"/>
                  <w:marRight w:val="0"/>
                  <w:marTop w:val="0"/>
                  <w:marBottom w:val="0"/>
                  <w:divBdr>
                    <w:top w:val="none" w:sz="0" w:space="0" w:color="auto"/>
                    <w:left w:val="none" w:sz="0" w:space="0" w:color="auto"/>
                    <w:bottom w:val="none" w:sz="0" w:space="0" w:color="auto"/>
                    <w:right w:val="none" w:sz="0" w:space="0" w:color="auto"/>
                  </w:divBdr>
                  <w:divsChild>
                    <w:div w:id="1099956418">
                      <w:marLeft w:val="0"/>
                      <w:marRight w:val="0"/>
                      <w:marTop w:val="150"/>
                      <w:marBottom w:val="0"/>
                      <w:divBdr>
                        <w:top w:val="none" w:sz="0" w:space="0" w:color="auto"/>
                        <w:left w:val="none" w:sz="0" w:space="0" w:color="auto"/>
                        <w:bottom w:val="none" w:sz="0" w:space="0" w:color="auto"/>
                        <w:right w:val="none" w:sz="0" w:space="0" w:color="auto"/>
                      </w:divBdr>
                    </w:div>
                  </w:divsChild>
                </w:div>
                <w:div w:id="9827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5136">
      <w:bodyDiv w:val="1"/>
      <w:marLeft w:val="0"/>
      <w:marRight w:val="0"/>
      <w:marTop w:val="0"/>
      <w:marBottom w:val="0"/>
      <w:divBdr>
        <w:top w:val="none" w:sz="0" w:space="0" w:color="auto"/>
        <w:left w:val="none" w:sz="0" w:space="0" w:color="auto"/>
        <w:bottom w:val="none" w:sz="0" w:space="0" w:color="auto"/>
        <w:right w:val="none" w:sz="0" w:space="0" w:color="auto"/>
      </w:divBdr>
      <w:divsChild>
        <w:div w:id="798374810">
          <w:marLeft w:val="0"/>
          <w:marRight w:val="0"/>
          <w:marTop w:val="0"/>
          <w:marBottom w:val="0"/>
          <w:divBdr>
            <w:top w:val="none" w:sz="0" w:space="0" w:color="auto"/>
            <w:left w:val="none" w:sz="0" w:space="0" w:color="auto"/>
            <w:bottom w:val="none" w:sz="0" w:space="0" w:color="auto"/>
            <w:right w:val="none" w:sz="0" w:space="0" w:color="auto"/>
          </w:divBdr>
          <w:divsChild>
            <w:div w:id="1311978594">
              <w:marLeft w:val="0"/>
              <w:marRight w:val="0"/>
              <w:marTop w:val="0"/>
              <w:marBottom w:val="0"/>
              <w:divBdr>
                <w:top w:val="none" w:sz="0" w:space="0" w:color="auto"/>
                <w:left w:val="none" w:sz="0" w:space="0" w:color="auto"/>
                <w:bottom w:val="none" w:sz="0" w:space="0" w:color="auto"/>
                <w:right w:val="none" w:sz="0" w:space="0" w:color="auto"/>
              </w:divBdr>
              <w:divsChild>
                <w:div w:id="1680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59298">
      <w:bodyDiv w:val="1"/>
      <w:marLeft w:val="0"/>
      <w:marRight w:val="0"/>
      <w:marTop w:val="0"/>
      <w:marBottom w:val="0"/>
      <w:divBdr>
        <w:top w:val="none" w:sz="0" w:space="0" w:color="auto"/>
        <w:left w:val="none" w:sz="0" w:space="0" w:color="auto"/>
        <w:bottom w:val="none" w:sz="0" w:space="0" w:color="auto"/>
        <w:right w:val="none" w:sz="0" w:space="0" w:color="auto"/>
      </w:divBdr>
      <w:divsChild>
        <w:div w:id="1490906056">
          <w:marLeft w:val="0"/>
          <w:marRight w:val="0"/>
          <w:marTop w:val="0"/>
          <w:marBottom w:val="0"/>
          <w:divBdr>
            <w:top w:val="none" w:sz="0" w:space="0" w:color="auto"/>
            <w:left w:val="none" w:sz="0" w:space="0" w:color="auto"/>
            <w:bottom w:val="none" w:sz="0" w:space="0" w:color="auto"/>
            <w:right w:val="none" w:sz="0" w:space="0" w:color="auto"/>
          </w:divBdr>
          <w:divsChild>
            <w:div w:id="855995953">
              <w:marLeft w:val="0"/>
              <w:marRight w:val="0"/>
              <w:marTop w:val="0"/>
              <w:marBottom w:val="0"/>
              <w:divBdr>
                <w:top w:val="none" w:sz="0" w:space="0" w:color="auto"/>
                <w:left w:val="none" w:sz="0" w:space="0" w:color="auto"/>
                <w:bottom w:val="none" w:sz="0" w:space="0" w:color="auto"/>
                <w:right w:val="none" w:sz="0" w:space="0" w:color="auto"/>
              </w:divBdr>
              <w:divsChild>
                <w:div w:id="1911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83350630">
      <w:bodyDiv w:val="1"/>
      <w:marLeft w:val="0"/>
      <w:marRight w:val="0"/>
      <w:marTop w:val="0"/>
      <w:marBottom w:val="0"/>
      <w:divBdr>
        <w:top w:val="none" w:sz="0" w:space="0" w:color="auto"/>
        <w:left w:val="none" w:sz="0" w:space="0" w:color="auto"/>
        <w:bottom w:val="none" w:sz="0" w:space="0" w:color="auto"/>
        <w:right w:val="none" w:sz="0" w:space="0" w:color="auto"/>
      </w:divBdr>
      <w:divsChild>
        <w:div w:id="66223233">
          <w:marLeft w:val="0"/>
          <w:marRight w:val="0"/>
          <w:marTop w:val="0"/>
          <w:marBottom w:val="0"/>
          <w:divBdr>
            <w:top w:val="none" w:sz="0" w:space="0" w:color="auto"/>
            <w:left w:val="none" w:sz="0" w:space="0" w:color="auto"/>
            <w:bottom w:val="none" w:sz="0" w:space="0" w:color="auto"/>
            <w:right w:val="none" w:sz="0" w:space="0" w:color="auto"/>
          </w:divBdr>
          <w:divsChild>
            <w:div w:id="761682163">
              <w:marLeft w:val="0"/>
              <w:marRight w:val="0"/>
              <w:marTop w:val="0"/>
              <w:marBottom w:val="0"/>
              <w:divBdr>
                <w:top w:val="none" w:sz="0" w:space="0" w:color="auto"/>
                <w:left w:val="none" w:sz="0" w:space="0" w:color="auto"/>
                <w:bottom w:val="none" w:sz="0" w:space="0" w:color="auto"/>
                <w:right w:val="none" w:sz="0" w:space="0" w:color="auto"/>
              </w:divBdr>
              <w:divsChild>
                <w:div w:id="14745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4028">
      <w:bodyDiv w:val="1"/>
      <w:marLeft w:val="0"/>
      <w:marRight w:val="0"/>
      <w:marTop w:val="0"/>
      <w:marBottom w:val="0"/>
      <w:divBdr>
        <w:top w:val="none" w:sz="0" w:space="0" w:color="auto"/>
        <w:left w:val="none" w:sz="0" w:space="0" w:color="auto"/>
        <w:bottom w:val="none" w:sz="0" w:space="0" w:color="auto"/>
        <w:right w:val="none" w:sz="0" w:space="0" w:color="auto"/>
      </w:divBdr>
      <w:divsChild>
        <w:div w:id="1513102062">
          <w:marLeft w:val="0"/>
          <w:marRight w:val="0"/>
          <w:marTop w:val="0"/>
          <w:marBottom w:val="0"/>
          <w:divBdr>
            <w:top w:val="none" w:sz="0" w:space="0" w:color="auto"/>
            <w:left w:val="none" w:sz="0" w:space="0" w:color="auto"/>
            <w:bottom w:val="none" w:sz="0" w:space="0" w:color="auto"/>
            <w:right w:val="none" w:sz="0" w:space="0" w:color="auto"/>
          </w:divBdr>
          <w:divsChild>
            <w:div w:id="856314157">
              <w:marLeft w:val="0"/>
              <w:marRight w:val="0"/>
              <w:marTop w:val="0"/>
              <w:marBottom w:val="0"/>
              <w:divBdr>
                <w:top w:val="none" w:sz="0" w:space="0" w:color="auto"/>
                <w:left w:val="none" w:sz="0" w:space="0" w:color="auto"/>
                <w:bottom w:val="none" w:sz="0" w:space="0" w:color="auto"/>
                <w:right w:val="none" w:sz="0" w:space="0" w:color="auto"/>
              </w:divBdr>
              <w:divsChild>
                <w:div w:id="14353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9552">
      <w:bodyDiv w:val="1"/>
      <w:marLeft w:val="0"/>
      <w:marRight w:val="0"/>
      <w:marTop w:val="0"/>
      <w:marBottom w:val="0"/>
      <w:divBdr>
        <w:top w:val="none" w:sz="0" w:space="0" w:color="auto"/>
        <w:left w:val="none" w:sz="0" w:space="0" w:color="auto"/>
        <w:bottom w:val="none" w:sz="0" w:space="0" w:color="auto"/>
        <w:right w:val="none" w:sz="0" w:space="0" w:color="auto"/>
      </w:divBdr>
      <w:divsChild>
        <w:div w:id="2143881368">
          <w:marLeft w:val="0"/>
          <w:marRight w:val="0"/>
          <w:marTop w:val="0"/>
          <w:marBottom w:val="0"/>
          <w:divBdr>
            <w:top w:val="none" w:sz="0" w:space="0" w:color="auto"/>
            <w:left w:val="none" w:sz="0" w:space="0" w:color="auto"/>
            <w:bottom w:val="none" w:sz="0" w:space="0" w:color="auto"/>
            <w:right w:val="none" w:sz="0" w:space="0" w:color="auto"/>
          </w:divBdr>
          <w:divsChild>
            <w:div w:id="137959579">
              <w:marLeft w:val="0"/>
              <w:marRight w:val="0"/>
              <w:marTop w:val="0"/>
              <w:marBottom w:val="0"/>
              <w:divBdr>
                <w:top w:val="none" w:sz="0" w:space="0" w:color="auto"/>
                <w:left w:val="none" w:sz="0" w:space="0" w:color="auto"/>
                <w:bottom w:val="none" w:sz="0" w:space="0" w:color="auto"/>
                <w:right w:val="none" w:sz="0" w:space="0" w:color="auto"/>
              </w:divBdr>
              <w:divsChild>
                <w:div w:id="8948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55729125">
      <w:bodyDiv w:val="1"/>
      <w:marLeft w:val="0"/>
      <w:marRight w:val="0"/>
      <w:marTop w:val="0"/>
      <w:marBottom w:val="0"/>
      <w:divBdr>
        <w:top w:val="none" w:sz="0" w:space="0" w:color="auto"/>
        <w:left w:val="none" w:sz="0" w:space="0" w:color="auto"/>
        <w:bottom w:val="none" w:sz="0" w:space="0" w:color="auto"/>
        <w:right w:val="none" w:sz="0" w:space="0" w:color="auto"/>
      </w:divBdr>
      <w:divsChild>
        <w:div w:id="1690788415">
          <w:marLeft w:val="0"/>
          <w:marRight w:val="0"/>
          <w:marTop w:val="0"/>
          <w:marBottom w:val="0"/>
          <w:divBdr>
            <w:top w:val="none" w:sz="0" w:space="0" w:color="auto"/>
            <w:left w:val="none" w:sz="0" w:space="0" w:color="auto"/>
            <w:bottom w:val="none" w:sz="0" w:space="0" w:color="auto"/>
            <w:right w:val="none" w:sz="0" w:space="0" w:color="auto"/>
          </w:divBdr>
          <w:divsChild>
            <w:div w:id="1522233261">
              <w:marLeft w:val="0"/>
              <w:marRight w:val="0"/>
              <w:marTop w:val="0"/>
              <w:marBottom w:val="0"/>
              <w:divBdr>
                <w:top w:val="none" w:sz="0" w:space="0" w:color="auto"/>
                <w:left w:val="none" w:sz="0" w:space="0" w:color="auto"/>
                <w:bottom w:val="none" w:sz="0" w:space="0" w:color="auto"/>
                <w:right w:val="none" w:sz="0" w:space="0" w:color="auto"/>
              </w:divBdr>
              <w:divsChild>
                <w:div w:id="20442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41655">
      <w:bodyDiv w:val="1"/>
      <w:marLeft w:val="0"/>
      <w:marRight w:val="0"/>
      <w:marTop w:val="0"/>
      <w:marBottom w:val="0"/>
      <w:divBdr>
        <w:top w:val="none" w:sz="0" w:space="0" w:color="auto"/>
        <w:left w:val="none" w:sz="0" w:space="0" w:color="auto"/>
        <w:bottom w:val="none" w:sz="0" w:space="0" w:color="auto"/>
        <w:right w:val="none" w:sz="0" w:space="0" w:color="auto"/>
      </w:divBdr>
    </w:div>
    <w:div w:id="923147051">
      <w:bodyDiv w:val="1"/>
      <w:marLeft w:val="0"/>
      <w:marRight w:val="0"/>
      <w:marTop w:val="0"/>
      <w:marBottom w:val="0"/>
      <w:divBdr>
        <w:top w:val="none" w:sz="0" w:space="0" w:color="auto"/>
        <w:left w:val="none" w:sz="0" w:space="0" w:color="auto"/>
        <w:bottom w:val="none" w:sz="0" w:space="0" w:color="auto"/>
        <w:right w:val="none" w:sz="0" w:space="0" w:color="auto"/>
      </w:divBdr>
      <w:divsChild>
        <w:div w:id="18898488">
          <w:marLeft w:val="0"/>
          <w:marRight w:val="0"/>
          <w:marTop w:val="0"/>
          <w:marBottom w:val="0"/>
          <w:divBdr>
            <w:top w:val="none" w:sz="0" w:space="0" w:color="auto"/>
            <w:left w:val="none" w:sz="0" w:space="0" w:color="auto"/>
            <w:bottom w:val="none" w:sz="0" w:space="0" w:color="auto"/>
            <w:right w:val="none" w:sz="0" w:space="0" w:color="auto"/>
          </w:divBdr>
          <w:divsChild>
            <w:div w:id="739979451">
              <w:marLeft w:val="0"/>
              <w:marRight w:val="0"/>
              <w:marTop w:val="0"/>
              <w:marBottom w:val="0"/>
              <w:divBdr>
                <w:top w:val="none" w:sz="0" w:space="0" w:color="auto"/>
                <w:left w:val="none" w:sz="0" w:space="0" w:color="auto"/>
                <w:bottom w:val="none" w:sz="0" w:space="0" w:color="auto"/>
                <w:right w:val="none" w:sz="0" w:space="0" w:color="auto"/>
              </w:divBdr>
              <w:divsChild>
                <w:div w:id="13818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7367">
      <w:bodyDiv w:val="1"/>
      <w:marLeft w:val="0"/>
      <w:marRight w:val="0"/>
      <w:marTop w:val="0"/>
      <w:marBottom w:val="0"/>
      <w:divBdr>
        <w:top w:val="none" w:sz="0" w:space="0" w:color="auto"/>
        <w:left w:val="none" w:sz="0" w:space="0" w:color="auto"/>
        <w:bottom w:val="none" w:sz="0" w:space="0" w:color="auto"/>
        <w:right w:val="none" w:sz="0" w:space="0" w:color="auto"/>
      </w:divBdr>
      <w:divsChild>
        <w:div w:id="1610315048">
          <w:marLeft w:val="0"/>
          <w:marRight w:val="0"/>
          <w:marTop w:val="0"/>
          <w:marBottom w:val="0"/>
          <w:divBdr>
            <w:top w:val="none" w:sz="0" w:space="0" w:color="auto"/>
            <w:left w:val="none" w:sz="0" w:space="0" w:color="auto"/>
            <w:bottom w:val="none" w:sz="0" w:space="0" w:color="auto"/>
            <w:right w:val="none" w:sz="0" w:space="0" w:color="auto"/>
          </w:divBdr>
          <w:divsChild>
            <w:div w:id="999232466">
              <w:marLeft w:val="0"/>
              <w:marRight w:val="0"/>
              <w:marTop w:val="0"/>
              <w:marBottom w:val="0"/>
              <w:divBdr>
                <w:top w:val="none" w:sz="0" w:space="0" w:color="auto"/>
                <w:left w:val="none" w:sz="0" w:space="0" w:color="auto"/>
                <w:bottom w:val="none" w:sz="0" w:space="0" w:color="auto"/>
                <w:right w:val="none" w:sz="0" w:space="0" w:color="auto"/>
              </w:divBdr>
              <w:divsChild>
                <w:div w:id="8712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5414">
      <w:bodyDiv w:val="1"/>
      <w:marLeft w:val="0"/>
      <w:marRight w:val="0"/>
      <w:marTop w:val="0"/>
      <w:marBottom w:val="0"/>
      <w:divBdr>
        <w:top w:val="none" w:sz="0" w:space="0" w:color="auto"/>
        <w:left w:val="none" w:sz="0" w:space="0" w:color="auto"/>
        <w:bottom w:val="none" w:sz="0" w:space="0" w:color="auto"/>
        <w:right w:val="none" w:sz="0" w:space="0" w:color="auto"/>
      </w:divBdr>
      <w:divsChild>
        <w:div w:id="1928997979">
          <w:marLeft w:val="0"/>
          <w:marRight w:val="0"/>
          <w:marTop w:val="0"/>
          <w:marBottom w:val="0"/>
          <w:divBdr>
            <w:top w:val="none" w:sz="0" w:space="0" w:color="auto"/>
            <w:left w:val="none" w:sz="0" w:space="0" w:color="auto"/>
            <w:bottom w:val="none" w:sz="0" w:space="0" w:color="auto"/>
            <w:right w:val="none" w:sz="0" w:space="0" w:color="auto"/>
          </w:divBdr>
          <w:divsChild>
            <w:div w:id="1870605608">
              <w:marLeft w:val="0"/>
              <w:marRight w:val="0"/>
              <w:marTop w:val="0"/>
              <w:marBottom w:val="0"/>
              <w:divBdr>
                <w:top w:val="none" w:sz="0" w:space="0" w:color="auto"/>
                <w:left w:val="none" w:sz="0" w:space="0" w:color="auto"/>
                <w:bottom w:val="none" w:sz="0" w:space="0" w:color="auto"/>
                <w:right w:val="none" w:sz="0" w:space="0" w:color="auto"/>
              </w:divBdr>
              <w:divsChild>
                <w:div w:id="4512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441">
      <w:bodyDiv w:val="1"/>
      <w:marLeft w:val="0"/>
      <w:marRight w:val="0"/>
      <w:marTop w:val="0"/>
      <w:marBottom w:val="0"/>
      <w:divBdr>
        <w:top w:val="none" w:sz="0" w:space="0" w:color="auto"/>
        <w:left w:val="none" w:sz="0" w:space="0" w:color="auto"/>
        <w:bottom w:val="none" w:sz="0" w:space="0" w:color="auto"/>
        <w:right w:val="none" w:sz="0" w:space="0" w:color="auto"/>
      </w:divBdr>
      <w:divsChild>
        <w:div w:id="701982148">
          <w:marLeft w:val="0"/>
          <w:marRight w:val="0"/>
          <w:marTop w:val="0"/>
          <w:marBottom w:val="0"/>
          <w:divBdr>
            <w:top w:val="none" w:sz="0" w:space="0" w:color="auto"/>
            <w:left w:val="none" w:sz="0" w:space="0" w:color="auto"/>
            <w:bottom w:val="none" w:sz="0" w:space="0" w:color="auto"/>
            <w:right w:val="none" w:sz="0" w:space="0" w:color="auto"/>
          </w:divBdr>
          <w:divsChild>
            <w:div w:id="478228564">
              <w:marLeft w:val="0"/>
              <w:marRight w:val="0"/>
              <w:marTop w:val="0"/>
              <w:marBottom w:val="0"/>
              <w:divBdr>
                <w:top w:val="none" w:sz="0" w:space="0" w:color="auto"/>
                <w:left w:val="none" w:sz="0" w:space="0" w:color="auto"/>
                <w:bottom w:val="none" w:sz="0" w:space="0" w:color="auto"/>
                <w:right w:val="none" w:sz="0" w:space="0" w:color="auto"/>
              </w:divBdr>
              <w:divsChild>
                <w:div w:id="13886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5531">
      <w:bodyDiv w:val="1"/>
      <w:marLeft w:val="0"/>
      <w:marRight w:val="0"/>
      <w:marTop w:val="0"/>
      <w:marBottom w:val="0"/>
      <w:divBdr>
        <w:top w:val="none" w:sz="0" w:space="0" w:color="auto"/>
        <w:left w:val="none" w:sz="0" w:space="0" w:color="auto"/>
        <w:bottom w:val="none" w:sz="0" w:space="0" w:color="auto"/>
        <w:right w:val="none" w:sz="0" w:space="0" w:color="auto"/>
      </w:divBdr>
      <w:divsChild>
        <w:div w:id="1343970105">
          <w:marLeft w:val="0"/>
          <w:marRight w:val="0"/>
          <w:marTop w:val="0"/>
          <w:marBottom w:val="0"/>
          <w:divBdr>
            <w:top w:val="none" w:sz="0" w:space="0" w:color="auto"/>
            <w:left w:val="none" w:sz="0" w:space="0" w:color="auto"/>
            <w:bottom w:val="none" w:sz="0" w:space="0" w:color="auto"/>
            <w:right w:val="none" w:sz="0" w:space="0" w:color="auto"/>
          </w:divBdr>
          <w:divsChild>
            <w:div w:id="1494681733">
              <w:marLeft w:val="0"/>
              <w:marRight w:val="0"/>
              <w:marTop w:val="0"/>
              <w:marBottom w:val="0"/>
              <w:divBdr>
                <w:top w:val="none" w:sz="0" w:space="0" w:color="auto"/>
                <w:left w:val="none" w:sz="0" w:space="0" w:color="auto"/>
                <w:bottom w:val="none" w:sz="0" w:space="0" w:color="auto"/>
                <w:right w:val="none" w:sz="0" w:space="0" w:color="auto"/>
              </w:divBdr>
              <w:divsChild>
                <w:div w:id="602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2935">
      <w:bodyDiv w:val="1"/>
      <w:marLeft w:val="0"/>
      <w:marRight w:val="0"/>
      <w:marTop w:val="0"/>
      <w:marBottom w:val="0"/>
      <w:divBdr>
        <w:top w:val="none" w:sz="0" w:space="0" w:color="auto"/>
        <w:left w:val="none" w:sz="0" w:space="0" w:color="auto"/>
        <w:bottom w:val="none" w:sz="0" w:space="0" w:color="auto"/>
        <w:right w:val="none" w:sz="0" w:space="0" w:color="auto"/>
      </w:divBdr>
      <w:divsChild>
        <w:div w:id="1059787432">
          <w:marLeft w:val="0"/>
          <w:marRight w:val="0"/>
          <w:marTop w:val="0"/>
          <w:marBottom w:val="0"/>
          <w:divBdr>
            <w:top w:val="none" w:sz="0" w:space="0" w:color="auto"/>
            <w:left w:val="none" w:sz="0" w:space="0" w:color="auto"/>
            <w:bottom w:val="none" w:sz="0" w:space="0" w:color="auto"/>
            <w:right w:val="none" w:sz="0" w:space="0" w:color="auto"/>
          </w:divBdr>
          <w:divsChild>
            <w:div w:id="99840470">
              <w:marLeft w:val="0"/>
              <w:marRight w:val="0"/>
              <w:marTop w:val="0"/>
              <w:marBottom w:val="0"/>
              <w:divBdr>
                <w:top w:val="none" w:sz="0" w:space="0" w:color="auto"/>
                <w:left w:val="none" w:sz="0" w:space="0" w:color="auto"/>
                <w:bottom w:val="none" w:sz="0" w:space="0" w:color="auto"/>
                <w:right w:val="none" w:sz="0" w:space="0" w:color="auto"/>
              </w:divBdr>
              <w:divsChild>
                <w:div w:id="354230338">
                  <w:marLeft w:val="0"/>
                  <w:marRight w:val="0"/>
                  <w:marTop w:val="0"/>
                  <w:marBottom w:val="0"/>
                  <w:divBdr>
                    <w:top w:val="none" w:sz="0" w:space="0" w:color="auto"/>
                    <w:left w:val="none" w:sz="0" w:space="0" w:color="auto"/>
                    <w:bottom w:val="none" w:sz="0" w:space="0" w:color="auto"/>
                    <w:right w:val="none" w:sz="0" w:space="0" w:color="auto"/>
                  </w:divBdr>
                  <w:divsChild>
                    <w:div w:id="766656116">
                      <w:marLeft w:val="0"/>
                      <w:marRight w:val="0"/>
                      <w:marTop w:val="0"/>
                      <w:marBottom w:val="270"/>
                      <w:divBdr>
                        <w:top w:val="none" w:sz="0" w:space="0" w:color="auto"/>
                        <w:left w:val="none" w:sz="0" w:space="0" w:color="auto"/>
                        <w:bottom w:val="none" w:sz="0" w:space="0" w:color="auto"/>
                        <w:right w:val="none" w:sz="0" w:space="0" w:color="auto"/>
                      </w:divBdr>
                      <w:divsChild>
                        <w:div w:id="1095514531">
                          <w:marLeft w:val="0"/>
                          <w:marRight w:val="0"/>
                          <w:marTop w:val="0"/>
                          <w:marBottom w:val="270"/>
                          <w:divBdr>
                            <w:top w:val="single" w:sz="6" w:space="0" w:color="CCCCCC"/>
                            <w:left w:val="none" w:sz="0" w:space="0" w:color="auto"/>
                            <w:bottom w:val="none" w:sz="0" w:space="0" w:color="auto"/>
                            <w:right w:val="none" w:sz="0" w:space="0" w:color="auto"/>
                          </w:divBdr>
                          <w:divsChild>
                            <w:div w:id="1230309415">
                              <w:marLeft w:val="0"/>
                              <w:marRight w:val="0"/>
                              <w:marTop w:val="0"/>
                              <w:marBottom w:val="0"/>
                              <w:divBdr>
                                <w:top w:val="none" w:sz="0" w:space="0" w:color="auto"/>
                                <w:left w:val="none" w:sz="0" w:space="0" w:color="auto"/>
                                <w:bottom w:val="single" w:sz="6" w:space="0" w:color="CCCCCC"/>
                                <w:right w:val="none" w:sz="0" w:space="0" w:color="auto"/>
                              </w:divBdr>
                              <w:divsChild>
                                <w:div w:id="493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485810">
      <w:bodyDiv w:val="1"/>
      <w:marLeft w:val="0"/>
      <w:marRight w:val="0"/>
      <w:marTop w:val="0"/>
      <w:marBottom w:val="0"/>
      <w:divBdr>
        <w:top w:val="none" w:sz="0" w:space="0" w:color="auto"/>
        <w:left w:val="none" w:sz="0" w:space="0" w:color="auto"/>
        <w:bottom w:val="none" w:sz="0" w:space="0" w:color="auto"/>
        <w:right w:val="none" w:sz="0" w:space="0" w:color="auto"/>
      </w:divBdr>
      <w:divsChild>
        <w:div w:id="1999110843">
          <w:marLeft w:val="0"/>
          <w:marRight w:val="0"/>
          <w:marTop w:val="0"/>
          <w:marBottom w:val="0"/>
          <w:divBdr>
            <w:top w:val="none" w:sz="0" w:space="0" w:color="auto"/>
            <w:left w:val="none" w:sz="0" w:space="0" w:color="auto"/>
            <w:bottom w:val="none" w:sz="0" w:space="0" w:color="auto"/>
            <w:right w:val="none" w:sz="0" w:space="0" w:color="auto"/>
          </w:divBdr>
          <w:divsChild>
            <w:div w:id="687294022">
              <w:marLeft w:val="0"/>
              <w:marRight w:val="0"/>
              <w:marTop w:val="0"/>
              <w:marBottom w:val="0"/>
              <w:divBdr>
                <w:top w:val="none" w:sz="0" w:space="0" w:color="auto"/>
                <w:left w:val="none" w:sz="0" w:space="0" w:color="auto"/>
                <w:bottom w:val="none" w:sz="0" w:space="0" w:color="auto"/>
                <w:right w:val="none" w:sz="0" w:space="0" w:color="auto"/>
              </w:divBdr>
              <w:divsChild>
                <w:div w:id="515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58315">
      <w:bodyDiv w:val="1"/>
      <w:marLeft w:val="0"/>
      <w:marRight w:val="0"/>
      <w:marTop w:val="0"/>
      <w:marBottom w:val="0"/>
      <w:divBdr>
        <w:top w:val="none" w:sz="0" w:space="0" w:color="auto"/>
        <w:left w:val="none" w:sz="0" w:space="0" w:color="auto"/>
        <w:bottom w:val="none" w:sz="0" w:space="0" w:color="auto"/>
        <w:right w:val="none" w:sz="0" w:space="0" w:color="auto"/>
      </w:divBdr>
      <w:divsChild>
        <w:div w:id="855508060">
          <w:marLeft w:val="0"/>
          <w:marRight w:val="0"/>
          <w:marTop w:val="0"/>
          <w:marBottom w:val="0"/>
          <w:divBdr>
            <w:top w:val="none" w:sz="0" w:space="0" w:color="auto"/>
            <w:left w:val="none" w:sz="0" w:space="0" w:color="auto"/>
            <w:bottom w:val="none" w:sz="0" w:space="0" w:color="auto"/>
            <w:right w:val="none" w:sz="0" w:space="0" w:color="auto"/>
          </w:divBdr>
          <w:divsChild>
            <w:div w:id="1227447424">
              <w:marLeft w:val="0"/>
              <w:marRight w:val="0"/>
              <w:marTop w:val="0"/>
              <w:marBottom w:val="0"/>
              <w:divBdr>
                <w:top w:val="none" w:sz="0" w:space="0" w:color="auto"/>
                <w:left w:val="none" w:sz="0" w:space="0" w:color="auto"/>
                <w:bottom w:val="none" w:sz="0" w:space="0" w:color="auto"/>
                <w:right w:val="none" w:sz="0" w:space="0" w:color="auto"/>
              </w:divBdr>
              <w:divsChild>
                <w:div w:id="4191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27810">
      <w:bodyDiv w:val="1"/>
      <w:marLeft w:val="0"/>
      <w:marRight w:val="0"/>
      <w:marTop w:val="0"/>
      <w:marBottom w:val="0"/>
      <w:divBdr>
        <w:top w:val="none" w:sz="0" w:space="0" w:color="auto"/>
        <w:left w:val="none" w:sz="0" w:space="0" w:color="auto"/>
        <w:bottom w:val="none" w:sz="0" w:space="0" w:color="auto"/>
        <w:right w:val="none" w:sz="0" w:space="0" w:color="auto"/>
      </w:divBdr>
      <w:divsChild>
        <w:div w:id="158930954">
          <w:marLeft w:val="0"/>
          <w:marRight w:val="0"/>
          <w:marTop w:val="0"/>
          <w:marBottom w:val="0"/>
          <w:divBdr>
            <w:top w:val="none" w:sz="0" w:space="0" w:color="auto"/>
            <w:left w:val="none" w:sz="0" w:space="0" w:color="auto"/>
            <w:bottom w:val="none" w:sz="0" w:space="0" w:color="auto"/>
            <w:right w:val="none" w:sz="0" w:space="0" w:color="auto"/>
          </w:divBdr>
          <w:divsChild>
            <w:div w:id="1496341928">
              <w:marLeft w:val="0"/>
              <w:marRight w:val="0"/>
              <w:marTop w:val="0"/>
              <w:marBottom w:val="0"/>
              <w:divBdr>
                <w:top w:val="none" w:sz="0" w:space="0" w:color="auto"/>
                <w:left w:val="none" w:sz="0" w:space="0" w:color="auto"/>
                <w:bottom w:val="none" w:sz="0" w:space="0" w:color="auto"/>
                <w:right w:val="none" w:sz="0" w:space="0" w:color="auto"/>
              </w:divBdr>
              <w:divsChild>
                <w:div w:id="14730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5492">
      <w:bodyDiv w:val="1"/>
      <w:marLeft w:val="0"/>
      <w:marRight w:val="0"/>
      <w:marTop w:val="0"/>
      <w:marBottom w:val="0"/>
      <w:divBdr>
        <w:top w:val="none" w:sz="0" w:space="0" w:color="auto"/>
        <w:left w:val="none" w:sz="0" w:space="0" w:color="auto"/>
        <w:bottom w:val="none" w:sz="0" w:space="0" w:color="auto"/>
        <w:right w:val="none" w:sz="0" w:space="0" w:color="auto"/>
      </w:divBdr>
      <w:divsChild>
        <w:div w:id="927277157">
          <w:marLeft w:val="0"/>
          <w:marRight w:val="0"/>
          <w:marTop w:val="0"/>
          <w:marBottom w:val="0"/>
          <w:divBdr>
            <w:top w:val="none" w:sz="0" w:space="0" w:color="auto"/>
            <w:left w:val="none" w:sz="0" w:space="0" w:color="auto"/>
            <w:bottom w:val="none" w:sz="0" w:space="0" w:color="auto"/>
            <w:right w:val="none" w:sz="0" w:space="0" w:color="auto"/>
          </w:divBdr>
          <w:divsChild>
            <w:div w:id="713890499">
              <w:marLeft w:val="0"/>
              <w:marRight w:val="0"/>
              <w:marTop w:val="0"/>
              <w:marBottom w:val="0"/>
              <w:divBdr>
                <w:top w:val="none" w:sz="0" w:space="0" w:color="auto"/>
                <w:left w:val="none" w:sz="0" w:space="0" w:color="auto"/>
                <w:bottom w:val="none" w:sz="0" w:space="0" w:color="auto"/>
                <w:right w:val="none" w:sz="0" w:space="0" w:color="auto"/>
              </w:divBdr>
              <w:divsChild>
                <w:div w:id="11683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71216">
      <w:bodyDiv w:val="1"/>
      <w:marLeft w:val="0"/>
      <w:marRight w:val="0"/>
      <w:marTop w:val="0"/>
      <w:marBottom w:val="0"/>
      <w:divBdr>
        <w:top w:val="none" w:sz="0" w:space="0" w:color="auto"/>
        <w:left w:val="none" w:sz="0" w:space="0" w:color="auto"/>
        <w:bottom w:val="none" w:sz="0" w:space="0" w:color="auto"/>
        <w:right w:val="none" w:sz="0" w:space="0" w:color="auto"/>
      </w:divBdr>
    </w:div>
    <w:div w:id="1846435284">
      <w:bodyDiv w:val="1"/>
      <w:marLeft w:val="0"/>
      <w:marRight w:val="0"/>
      <w:marTop w:val="0"/>
      <w:marBottom w:val="0"/>
      <w:divBdr>
        <w:top w:val="none" w:sz="0" w:space="0" w:color="auto"/>
        <w:left w:val="none" w:sz="0" w:space="0" w:color="auto"/>
        <w:bottom w:val="none" w:sz="0" w:space="0" w:color="auto"/>
        <w:right w:val="none" w:sz="0" w:space="0" w:color="auto"/>
      </w:divBdr>
      <w:divsChild>
        <w:div w:id="537284386">
          <w:marLeft w:val="0"/>
          <w:marRight w:val="0"/>
          <w:marTop w:val="0"/>
          <w:marBottom w:val="0"/>
          <w:divBdr>
            <w:top w:val="none" w:sz="0" w:space="0" w:color="auto"/>
            <w:left w:val="none" w:sz="0" w:space="0" w:color="auto"/>
            <w:bottom w:val="none" w:sz="0" w:space="0" w:color="auto"/>
            <w:right w:val="none" w:sz="0" w:space="0" w:color="auto"/>
          </w:divBdr>
          <w:divsChild>
            <w:div w:id="950362096">
              <w:marLeft w:val="0"/>
              <w:marRight w:val="0"/>
              <w:marTop w:val="0"/>
              <w:marBottom w:val="0"/>
              <w:divBdr>
                <w:top w:val="none" w:sz="0" w:space="0" w:color="auto"/>
                <w:left w:val="none" w:sz="0" w:space="0" w:color="auto"/>
                <w:bottom w:val="none" w:sz="0" w:space="0" w:color="auto"/>
                <w:right w:val="none" w:sz="0" w:space="0" w:color="auto"/>
              </w:divBdr>
              <w:divsChild>
                <w:div w:id="2025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Login.aspx" TargetMode="External"/><Relationship Id="rId13" Type="http://schemas.openxmlformats.org/officeDocument/2006/relationships/hyperlink" Target="http://www.podiatryboard.gov.au/Registration-Standards.aspx" TargetMode="External"/><Relationship Id="rId18" Type="http://schemas.openxmlformats.org/officeDocument/2006/relationships/hyperlink" Target="http://www.podiatryboard.gov.au/News/Newsletters.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odiatryboard.gov.au" TargetMode="External"/><Relationship Id="rId7" Type="http://schemas.openxmlformats.org/officeDocument/2006/relationships/endnotes" Target="endnotes.xml"/><Relationship Id="rId12" Type="http://schemas.openxmlformats.org/officeDocument/2006/relationships/hyperlink" Target="http://www.podiatryboard.gov.au/News/2015-12-01-revised-registration-standard.aspx" TargetMode="External"/><Relationship Id="rId17" Type="http://schemas.openxmlformats.org/officeDocument/2006/relationships/hyperlink" Target="https://www.ahpra.gov.au/Login.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odiatryboard.gov.au/About/Statistics.aspx" TargetMode="External"/><Relationship Id="rId20" Type="http://schemas.openxmlformats.org/officeDocument/2006/relationships/hyperlink" Target="http://www.ahpra.gov.au/Publications/Corporate-publications/Annual-report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iatryboard.gov.au/Registration-Standards.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diatryboard.gov.au/News/2015-11-18-nat-drug-screening-protocol.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podiatryboard.gov.au/Registration-Endorsement/Registration-Renewal.aspx" TargetMode="External"/><Relationship Id="rId19" Type="http://schemas.openxmlformats.org/officeDocument/2006/relationships/hyperlink" Target="http://www.ahpra.gov.au/annualreport/2015/" TargetMode="External"/><Relationship Id="rId4" Type="http://schemas.openxmlformats.org/officeDocument/2006/relationships/settings" Target="settings.xml"/><Relationship Id="rId9" Type="http://schemas.openxmlformats.org/officeDocument/2006/relationships/hyperlink" Target="http://www.ahpra.gov.au/Registration/Registers-of-Practitioners.aspx" TargetMode="External"/><Relationship Id="rId14" Type="http://schemas.openxmlformats.org/officeDocument/2006/relationships/hyperlink" Target="http://www.ahpra.gov.au/Registration/Registration-Standards/PII.aspx"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84A0-F4BC-44EC-B9BC-FE2901FF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8859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Podiatry Board of Australia held  on 25 November 2015</dc:title>
  <dc:subject>Communique</dc:subject>
  <dc:creator>Podiatry Board</dc:creator>
  <cp:lastModifiedBy>Sheryl Kamath</cp:lastModifiedBy>
  <cp:revision>2</cp:revision>
  <cp:lastPrinted>2012-02-10T00:45:00Z</cp:lastPrinted>
  <dcterms:created xsi:type="dcterms:W3CDTF">2015-12-13T23:16:00Z</dcterms:created>
  <dcterms:modified xsi:type="dcterms:W3CDTF">2015-12-13T23:16:00Z</dcterms:modified>
</cp:coreProperties>
</file>