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9E7" w:rsidRPr="00C35DE1" w:rsidRDefault="003579E7" w:rsidP="003579E7">
      <w:pPr>
        <w:pStyle w:val="AHPRAHeadline"/>
        <w:spacing w:line="276" w:lineRule="auto"/>
        <w:rPr>
          <w:color w:val="00BCCE"/>
          <w:sz w:val="32"/>
          <w:szCs w:val="32"/>
        </w:rPr>
      </w:pPr>
      <w:r>
        <w:rPr>
          <w:color w:val="00BCCE"/>
          <w:sz w:val="32"/>
          <w:szCs w:val="32"/>
        </w:rPr>
        <w:t>Statement</w:t>
      </w:r>
    </w:p>
    <w:p w:rsidR="003579E7" w:rsidRDefault="002E5DB6" w:rsidP="003579E7">
      <w:pPr>
        <w:pStyle w:val="AHPRAHeadline"/>
        <w:outlineLvl w:val="0"/>
      </w:pPr>
      <w:r w:rsidRPr="002E5DB6">
        <w:rPr>
          <w:rFonts w:cs="Arial"/>
          <w:noProof/>
          <w:color w:val="60605B"/>
          <w:sz w:val="32"/>
          <w:szCs w:val="32"/>
          <w:lang w:val="en-AU" w:eastAsia="en-AU"/>
        </w:rPr>
        <w:pict>
          <v:shapetype id="_x0000_t32" coordsize="21600,21600" o:spt="32" o:oned="t" path="m,l21600,21600e" filled="f">
            <v:path arrowok="t" fillok="f" o:connecttype="none"/>
            <o:lock v:ext="edit" shapetype="t"/>
          </v:shapetype>
          <v:shape id="AutoShape 2" o:spid="_x0000_s1026" type="#_x0000_t32" style="position:absolute;margin-left:-55.65pt;margin-top:.15pt;width:28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c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"/>
        </w:pict>
      </w:r>
    </w:p>
    <w:p w:rsidR="003579E7" w:rsidRPr="00C35DE1" w:rsidRDefault="00417B50" w:rsidP="003579E7">
      <w:pPr>
        <w:pStyle w:val="AHPRAHeadline"/>
        <w:outlineLvl w:val="0"/>
        <w:rPr>
          <w:color w:val="auto"/>
          <w:sz w:val="20"/>
          <w:szCs w:val="20"/>
        </w:rPr>
      </w:pPr>
      <w:r>
        <w:rPr>
          <w:color w:val="auto"/>
          <w:sz w:val="20"/>
          <w:szCs w:val="20"/>
        </w:rPr>
        <w:t>11 May 2012</w:t>
      </w:r>
    </w:p>
    <w:p w:rsidR="003579E7" w:rsidRDefault="00362CB9" w:rsidP="003579E7">
      <w:pPr>
        <w:pStyle w:val="AHPRAHeadline"/>
        <w:outlineLvl w:val="0"/>
        <w:rPr>
          <w:color w:val="60605B"/>
        </w:rPr>
      </w:pPr>
      <w:bookmarkStart w:id="0" w:name="OLE_LINK5"/>
      <w:bookmarkStart w:id="1" w:name="OLE_LINK6"/>
      <w:r>
        <w:rPr>
          <w:color w:val="60605B"/>
        </w:rPr>
        <w:t>When</w:t>
      </w:r>
      <w:r w:rsidR="003579E7">
        <w:rPr>
          <w:color w:val="60605B"/>
        </w:rPr>
        <w:t xml:space="preserve"> is</w:t>
      </w:r>
      <w:r>
        <w:rPr>
          <w:color w:val="60605B"/>
        </w:rPr>
        <w:t xml:space="preserve"> it</w:t>
      </w:r>
      <w:r w:rsidR="003579E7">
        <w:rPr>
          <w:color w:val="60605B"/>
        </w:rPr>
        <w:t xml:space="preserve"> necessary to be registered</w:t>
      </w:r>
      <w:r w:rsidR="00F64772">
        <w:rPr>
          <w:color w:val="60605B"/>
        </w:rPr>
        <w:t xml:space="preserve"> </w:t>
      </w:r>
      <w:r w:rsidR="006C5CF2">
        <w:rPr>
          <w:color w:val="60605B"/>
        </w:rPr>
        <w:t>as a</w:t>
      </w:r>
      <w:r w:rsidR="00F64772">
        <w:rPr>
          <w:color w:val="60605B"/>
        </w:rPr>
        <w:t xml:space="preserve"> </w:t>
      </w:r>
      <w:r w:rsidR="00DC0BCA">
        <w:rPr>
          <w:color w:val="60605B"/>
        </w:rPr>
        <w:t>podiatry</w:t>
      </w:r>
      <w:r w:rsidR="00F64772">
        <w:rPr>
          <w:color w:val="60605B"/>
        </w:rPr>
        <w:t xml:space="preserve"> practitioner?</w:t>
      </w:r>
    </w:p>
    <w:bookmarkEnd w:id="0"/>
    <w:bookmarkEnd w:id="1"/>
    <w:p w:rsidR="003579E7" w:rsidRPr="004B5F65" w:rsidRDefault="003579E7" w:rsidP="003579E7">
      <w:pPr>
        <w:pStyle w:val="AHPRASubhead"/>
      </w:pPr>
      <w:r>
        <w:t>Purpose</w:t>
      </w:r>
    </w:p>
    <w:p w:rsidR="00D62716" w:rsidDel="00D62716" w:rsidRDefault="00A24F34" w:rsidP="00A24F34">
      <w:pPr>
        <w:pStyle w:val="Default"/>
        <w:spacing w:before="240" w:line="276" w:lineRule="auto"/>
        <w:rPr>
          <w:sz w:val="20"/>
          <w:szCs w:val="20"/>
        </w:rPr>
      </w:pPr>
      <w:r>
        <w:rPr>
          <w:sz w:val="20"/>
          <w:szCs w:val="20"/>
        </w:rPr>
        <w:t>This statement provides advice to help practitioners decide whether or not they should be registered.</w:t>
      </w:r>
    </w:p>
    <w:p w:rsidR="003579E7" w:rsidRDefault="003579E7" w:rsidP="00417B50">
      <w:pPr>
        <w:pStyle w:val="AHPRASubhead"/>
        <w:spacing w:before="240" w:line="276" w:lineRule="auto"/>
        <w:outlineLvl w:val="0"/>
      </w:pPr>
      <w:r>
        <w:t>Why National Boards are publishing this information</w:t>
      </w:r>
    </w:p>
    <w:p w:rsidR="003579E7" w:rsidRPr="00543A29" w:rsidRDefault="003579E7" w:rsidP="003579E7">
      <w:pPr>
        <w:pStyle w:val="AHPRAbody"/>
        <w:spacing w:line="276" w:lineRule="auto"/>
        <w:rPr>
          <w:rFonts w:ascii="Arial" w:hAnsi="Arial"/>
          <w:szCs w:val="20"/>
        </w:rPr>
      </w:pPr>
      <w:r w:rsidRPr="00543A29">
        <w:rPr>
          <w:rFonts w:ascii="Arial" w:hAnsi="Arial"/>
          <w:szCs w:val="20"/>
        </w:rPr>
        <w:t>The National Boards have defined “practice” in a number of their registration standards as:</w:t>
      </w:r>
    </w:p>
    <w:p w:rsidR="003579E7" w:rsidRDefault="003579E7" w:rsidP="00417B50">
      <w:pPr>
        <w:pStyle w:val="Default"/>
        <w:spacing w:line="276" w:lineRule="auto"/>
        <w:ind w:left="284"/>
        <w:rPr>
          <w:i/>
          <w:iCs/>
          <w:color w:val="auto"/>
          <w:sz w:val="20"/>
          <w:szCs w:val="20"/>
        </w:rPr>
      </w:pPr>
      <w:r>
        <w:rPr>
          <w:b/>
          <w:bCs/>
          <w:i/>
          <w:iCs/>
          <w:color w:val="auto"/>
          <w:sz w:val="20"/>
          <w:szCs w:val="20"/>
        </w:rPr>
        <w:t xml:space="preserve">Practice </w:t>
      </w:r>
      <w:r>
        <w:rPr>
          <w:i/>
          <w:iCs/>
          <w:color w:val="auto"/>
          <w:sz w:val="20"/>
          <w:szCs w:val="20"/>
        </w:rPr>
        <w:t>means any role, whether remunerated or not, in which the individual uses their skills and knowledge as a health practitioner in their profession. For the purposes of this registration standard, practice is not restricted to the provision of direct clinical care. It also includes using professional knowledge in a direct non-clinical relationship with clients, working in management, administration, education, research, advisory, regulatory or policy development roles, and any other roles that impact on safe, effective delivery of services in the profession</w:t>
      </w:r>
      <w:r w:rsidR="00427F5C">
        <w:rPr>
          <w:i/>
          <w:iCs/>
          <w:color w:val="auto"/>
          <w:sz w:val="20"/>
          <w:szCs w:val="20"/>
        </w:rPr>
        <w:t xml:space="preserve"> and/or use their professional skills</w:t>
      </w:r>
      <w:r>
        <w:rPr>
          <w:i/>
          <w:iCs/>
          <w:color w:val="auto"/>
          <w:sz w:val="20"/>
          <w:szCs w:val="20"/>
        </w:rPr>
        <w:t xml:space="preserve">. </w:t>
      </w:r>
    </w:p>
    <w:p w:rsidR="003579E7" w:rsidRPr="00ED6A11" w:rsidRDefault="003579E7" w:rsidP="003579E7">
      <w:pPr>
        <w:pStyle w:val="Default"/>
        <w:spacing w:line="276" w:lineRule="auto"/>
        <w:rPr>
          <w:color w:val="auto"/>
          <w:sz w:val="20"/>
          <w:szCs w:val="20"/>
        </w:rPr>
      </w:pPr>
    </w:p>
    <w:p w:rsidR="003579E7" w:rsidRDefault="003579E7" w:rsidP="003579E7">
      <w:pPr>
        <w:pStyle w:val="Default"/>
        <w:spacing w:line="276" w:lineRule="auto"/>
        <w:rPr>
          <w:color w:val="auto"/>
          <w:sz w:val="20"/>
          <w:szCs w:val="20"/>
        </w:rPr>
      </w:pPr>
      <w:r>
        <w:rPr>
          <w:color w:val="auto"/>
          <w:sz w:val="20"/>
          <w:szCs w:val="20"/>
        </w:rPr>
        <w:t>The definition was intended to be broad and inclusive.  It allows individuals with qualifications as a health practitioner to be registered if they are using their skills and knowledge as a health practitioner, regardless of whether or not they are treating persons</w:t>
      </w:r>
      <w:r>
        <w:rPr>
          <w:rStyle w:val="FootnoteReference"/>
          <w:color w:val="auto"/>
        </w:rPr>
        <w:footnoteReference w:id="1"/>
      </w:r>
      <w:r>
        <w:rPr>
          <w:color w:val="auto"/>
          <w:sz w:val="20"/>
          <w:szCs w:val="20"/>
        </w:rPr>
        <w:t xml:space="preserve">.  </w:t>
      </w:r>
      <w:r w:rsidR="00F64772">
        <w:rPr>
          <w:color w:val="auto"/>
          <w:sz w:val="20"/>
          <w:szCs w:val="20"/>
        </w:rPr>
        <w:t>R</w:t>
      </w:r>
      <w:r>
        <w:rPr>
          <w:color w:val="auto"/>
          <w:sz w:val="20"/>
          <w:szCs w:val="20"/>
        </w:rPr>
        <w:t>egistered health practitioners can use the protected title related to their profession</w:t>
      </w:r>
      <w:r w:rsidR="00F64772">
        <w:rPr>
          <w:color w:val="auto"/>
          <w:sz w:val="20"/>
          <w:szCs w:val="20"/>
        </w:rPr>
        <w:t xml:space="preserve"> and must</w:t>
      </w:r>
      <w:r>
        <w:rPr>
          <w:color w:val="auto"/>
          <w:sz w:val="20"/>
          <w:szCs w:val="20"/>
        </w:rPr>
        <w:t xml:space="preserve"> comply with their National Board’s approved registration standards.</w:t>
      </w:r>
    </w:p>
    <w:p w:rsidR="003579E7" w:rsidRDefault="003579E7" w:rsidP="003579E7">
      <w:pPr>
        <w:pStyle w:val="Default"/>
        <w:spacing w:line="276" w:lineRule="auto"/>
        <w:rPr>
          <w:color w:val="auto"/>
          <w:sz w:val="20"/>
          <w:szCs w:val="20"/>
        </w:rPr>
      </w:pPr>
    </w:p>
    <w:p w:rsidR="003579E7" w:rsidRDefault="00F64772" w:rsidP="003579E7">
      <w:pPr>
        <w:pStyle w:val="Default"/>
        <w:spacing w:line="276" w:lineRule="auto"/>
        <w:rPr>
          <w:color w:val="auto"/>
          <w:sz w:val="20"/>
          <w:szCs w:val="20"/>
        </w:rPr>
      </w:pPr>
      <w:r>
        <w:rPr>
          <w:color w:val="auto"/>
          <w:sz w:val="20"/>
          <w:szCs w:val="20"/>
        </w:rPr>
        <w:t>M</w:t>
      </w:r>
      <w:r w:rsidR="003579E7">
        <w:rPr>
          <w:color w:val="auto"/>
          <w:sz w:val="20"/>
          <w:szCs w:val="20"/>
        </w:rPr>
        <w:t>any qualified health practitioners who use their skills and knowledge in a range of activities</w:t>
      </w:r>
      <w:r>
        <w:rPr>
          <w:color w:val="auto"/>
          <w:sz w:val="20"/>
          <w:szCs w:val="20"/>
        </w:rPr>
        <w:t xml:space="preserve"> outside direct patient care</w:t>
      </w:r>
      <w:r w:rsidR="00D62716">
        <w:rPr>
          <w:color w:val="auto"/>
          <w:sz w:val="20"/>
          <w:szCs w:val="20"/>
        </w:rPr>
        <w:t xml:space="preserve"> </w:t>
      </w:r>
      <w:r w:rsidR="003579E7">
        <w:rPr>
          <w:color w:val="auto"/>
          <w:sz w:val="20"/>
          <w:szCs w:val="20"/>
        </w:rPr>
        <w:t xml:space="preserve">may not need to be registered.  This statement clarifies the circumstances in which </w:t>
      </w:r>
      <w:r>
        <w:rPr>
          <w:color w:val="auto"/>
          <w:sz w:val="20"/>
          <w:szCs w:val="20"/>
        </w:rPr>
        <w:t xml:space="preserve">the </w:t>
      </w:r>
      <w:r w:rsidR="00DC0BCA">
        <w:rPr>
          <w:color w:val="auto"/>
          <w:sz w:val="20"/>
          <w:szCs w:val="20"/>
        </w:rPr>
        <w:t>Podiatry</w:t>
      </w:r>
      <w:r>
        <w:rPr>
          <w:color w:val="auto"/>
          <w:sz w:val="20"/>
          <w:szCs w:val="20"/>
        </w:rPr>
        <w:t xml:space="preserve"> </w:t>
      </w:r>
      <w:r w:rsidR="003579E7">
        <w:rPr>
          <w:color w:val="auto"/>
          <w:sz w:val="20"/>
          <w:szCs w:val="20"/>
        </w:rPr>
        <w:t xml:space="preserve">Board </w:t>
      </w:r>
      <w:r w:rsidR="00DC0BCA">
        <w:rPr>
          <w:color w:val="auto"/>
          <w:sz w:val="20"/>
          <w:szCs w:val="20"/>
        </w:rPr>
        <w:t xml:space="preserve">of Australia </w:t>
      </w:r>
      <w:r w:rsidR="003579E7">
        <w:rPr>
          <w:color w:val="auto"/>
          <w:sz w:val="20"/>
          <w:szCs w:val="20"/>
        </w:rPr>
        <w:t>expect</w:t>
      </w:r>
      <w:r>
        <w:rPr>
          <w:color w:val="auto"/>
          <w:sz w:val="20"/>
          <w:szCs w:val="20"/>
        </w:rPr>
        <w:t>s</w:t>
      </w:r>
      <w:r w:rsidR="003579E7">
        <w:rPr>
          <w:color w:val="auto"/>
          <w:sz w:val="20"/>
          <w:szCs w:val="20"/>
        </w:rPr>
        <w:t xml:space="preserve"> </w:t>
      </w:r>
      <w:r w:rsidR="00DC0BCA">
        <w:rPr>
          <w:color w:val="auto"/>
          <w:sz w:val="20"/>
          <w:szCs w:val="20"/>
        </w:rPr>
        <w:t>podiatry</w:t>
      </w:r>
      <w:r>
        <w:rPr>
          <w:color w:val="auto"/>
          <w:sz w:val="20"/>
          <w:szCs w:val="20"/>
        </w:rPr>
        <w:t xml:space="preserve"> </w:t>
      </w:r>
      <w:r w:rsidR="003579E7" w:rsidRPr="00F64772">
        <w:rPr>
          <w:color w:val="auto"/>
          <w:sz w:val="20"/>
          <w:szCs w:val="20"/>
        </w:rPr>
        <w:t>practitioners</w:t>
      </w:r>
      <w:r w:rsidR="003579E7">
        <w:rPr>
          <w:color w:val="auto"/>
          <w:sz w:val="20"/>
          <w:szCs w:val="20"/>
        </w:rPr>
        <w:t xml:space="preserve"> to be registered and details circumstances in which registration may not be required.  This advice is based on the </w:t>
      </w:r>
      <w:r w:rsidR="003579E7" w:rsidRPr="00955C5E">
        <w:rPr>
          <w:i/>
          <w:color w:val="auto"/>
          <w:sz w:val="20"/>
          <w:szCs w:val="20"/>
        </w:rPr>
        <w:t>Health Practitioner Regulation National Law Act</w:t>
      </w:r>
      <w:r w:rsidR="003579E7">
        <w:rPr>
          <w:color w:val="auto"/>
          <w:sz w:val="20"/>
          <w:szCs w:val="20"/>
        </w:rPr>
        <w:t xml:space="preserve"> (National Law) as in force in each state and territory, and the level of risk to the public </w:t>
      </w:r>
      <w:r w:rsidR="00417B50">
        <w:rPr>
          <w:color w:val="auto"/>
          <w:sz w:val="20"/>
          <w:szCs w:val="20"/>
        </w:rPr>
        <w:t>that the ‘practice’</w:t>
      </w:r>
      <w:r w:rsidR="003579E7">
        <w:rPr>
          <w:color w:val="auto"/>
          <w:sz w:val="20"/>
          <w:szCs w:val="20"/>
        </w:rPr>
        <w:t xml:space="preserve"> poses. </w:t>
      </w:r>
    </w:p>
    <w:p w:rsidR="003579E7" w:rsidRDefault="003579E7" w:rsidP="003579E7">
      <w:pPr>
        <w:pStyle w:val="Default"/>
        <w:spacing w:line="276" w:lineRule="auto"/>
        <w:rPr>
          <w:color w:val="auto"/>
          <w:sz w:val="20"/>
          <w:szCs w:val="20"/>
        </w:rPr>
      </w:pPr>
    </w:p>
    <w:p w:rsidR="003579E7" w:rsidRPr="00A83D1F" w:rsidRDefault="003579E7" w:rsidP="003579E7">
      <w:pPr>
        <w:pStyle w:val="AHPRASubhead"/>
      </w:pPr>
      <w:r w:rsidRPr="00A83D1F">
        <w:t xml:space="preserve">The National Law </w:t>
      </w:r>
    </w:p>
    <w:p w:rsidR="003579E7" w:rsidRPr="003253BA" w:rsidRDefault="00DC0BCA" w:rsidP="003579E7">
      <w:pPr>
        <w:pStyle w:val="Default"/>
        <w:spacing w:before="240" w:line="276" w:lineRule="auto"/>
        <w:rPr>
          <w:sz w:val="20"/>
          <w:szCs w:val="20"/>
        </w:rPr>
      </w:pPr>
      <w:r>
        <w:rPr>
          <w:sz w:val="20"/>
          <w:szCs w:val="20"/>
        </w:rPr>
        <w:t>Podiatrists and podiatric surgeons</w:t>
      </w:r>
      <w:r w:rsidR="003579E7" w:rsidRPr="005777B2">
        <w:rPr>
          <w:sz w:val="20"/>
          <w:szCs w:val="20"/>
        </w:rPr>
        <w:t xml:space="preserve"> are registered under the National Law</w:t>
      </w:r>
      <w:r w:rsidR="003579E7">
        <w:rPr>
          <w:sz w:val="20"/>
          <w:szCs w:val="20"/>
        </w:rPr>
        <w:t xml:space="preserve">. </w:t>
      </w:r>
      <w:r w:rsidR="003579E7" w:rsidRPr="003253BA">
        <w:rPr>
          <w:sz w:val="20"/>
          <w:szCs w:val="20"/>
        </w:rPr>
        <w:t>The National Law limits the use of certain titles</w:t>
      </w:r>
      <w:r w:rsidR="00F64772">
        <w:rPr>
          <w:sz w:val="20"/>
          <w:szCs w:val="20"/>
        </w:rPr>
        <w:t xml:space="preserve">. </w:t>
      </w:r>
      <w:r w:rsidR="003579E7" w:rsidRPr="003253BA">
        <w:rPr>
          <w:sz w:val="20"/>
          <w:szCs w:val="20"/>
        </w:rPr>
        <w:t xml:space="preserve"> </w:t>
      </w:r>
      <w:r w:rsidR="00F64772">
        <w:rPr>
          <w:sz w:val="20"/>
          <w:szCs w:val="20"/>
        </w:rPr>
        <w:t xml:space="preserve">The protected titles for </w:t>
      </w:r>
      <w:r>
        <w:rPr>
          <w:sz w:val="20"/>
          <w:szCs w:val="20"/>
        </w:rPr>
        <w:t>podiatry</w:t>
      </w:r>
      <w:r w:rsidR="00F64772">
        <w:rPr>
          <w:sz w:val="20"/>
          <w:szCs w:val="20"/>
        </w:rPr>
        <w:t xml:space="preserve"> are</w:t>
      </w:r>
      <w:r w:rsidR="006C5CF2">
        <w:rPr>
          <w:sz w:val="20"/>
          <w:szCs w:val="20"/>
        </w:rPr>
        <w:t xml:space="preserve"> </w:t>
      </w:r>
      <w:r>
        <w:rPr>
          <w:sz w:val="20"/>
          <w:szCs w:val="20"/>
        </w:rPr>
        <w:t xml:space="preserve">podiatrist and podiatric </w:t>
      </w:r>
      <w:r w:rsidR="00417B50">
        <w:rPr>
          <w:sz w:val="20"/>
          <w:szCs w:val="20"/>
        </w:rPr>
        <w:t>surgeon.</w:t>
      </w:r>
      <w:r w:rsidR="003579E7" w:rsidRPr="003253BA">
        <w:rPr>
          <w:sz w:val="20"/>
          <w:szCs w:val="20"/>
        </w:rPr>
        <w:t xml:space="preserve">  Other than </w:t>
      </w:r>
      <w:r w:rsidR="00E87725">
        <w:rPr>
          <w:sz w:val="20"/>
          <w:szCs w:val="20"/>
        </w:rPr>
        <w:t>certain acts that are restricted to specified professions (</w:t>
      </w:r>
      <w:r w:rsidR="003579E7" w:rsidRPr="005777B2">
        <w:rPr>
          <w:sz w:val="20"/>
          <w:szCs w:val="20"/>
        </w:rPr>
        <w:t xml:space="preserve">restricted dental acts, prescription of optical appliances and </w:t>
      </w:r>
      <w:r w:rsidR="003579E7" w:rsidRPr="005777B2">
        <w:rPr>
          <w:sz w:val="20"/>
          <w:szCs w:val="20"/>
        </w:rPr>
        <w:lastRenderedPageBreak/>
        <w:t>manipulation of the cervical spine</w:t>
      </w:r>
      <w:r w:rsidR="005413F7">
        <w:rPr>
          <w:sz w:val="20"/>
          <w:szCs w:val="20"/>
        </w:rPr>
        <w:t>,</w:t>
      </w:r>
      <w:r w:rsidR="001860EB" w:rsidRPr="006C5CF2">
        <w:rPr>
          <w:rStyle w:val="FootnoteReference"/>
          <w:sz w:val="18"/>
          <w:szCs w:val="18"/>
        </w:rPr>
        <w:footnoteReference w:id="2"/>
      </w:r>
      <w:r w:rsidR="003579E7">
        <w:rPr>
          <w:sz w:val="20"/>
          <w:szCs w:val="20"/>
        </w:rPr>
        <w:t xml:space="preserve"> </w:t>
      </w:r>
      <w:r w:rsidR="006C5CF2">
        <w:rPr>
          <w:sz w:val="20"/>
          <w:szCs w:val="20"/>
        </w:rPr>
        <w:t>as defined in the National Law</w:t>
      </w:r>
      <w:r w:rsidR="00E87725">
        <w:rPr>
          <w:sz w:val="20"/>
          <w:szCs w:val="20"/>
        </w:rPr>
        <w:t>)</w:t>
      </w:r>
      <w:r w:rsidR="006C5CF2">
        <w:rPr>
          <w:sz w:val="20"/>
          <w:szCs w:val="20"/>
        </w:rPr>
        <w:t xml:space="preserve">, </w:t>
      </w:r>
      <w:r w:rsidR="003579E7">
        <w:rPr>
          <w:sz w:val="20"/>
          <w:szCs w:val="20"/>
        </w:rPr>
        <w:t xml:space="preserve">the National Law does not </w:t>
      </w:r>
      <w:r w:rsidR="005413F7">
        <w:rPr>
          <w:sz w:val="20"/>
          <w:szCs w:val="20"/>
        </w:rPr>
        <w:t xml:space="preserve">specify </w:t>
      </w:r>
      <w:r w:rsidR="003579E7">
        <w:rPr>
          <w:sz w:val="20"/>
          <w:szCs w:val="20"/>
        </w:rPr>
        <w:t xml:space="preserve">the activities that require registration as a </w:t>
      </w:r>
      <w:r w:rsidR="00010097">
        <w:rPr>
          <w:sz w:val="20"/>
          <w:szCs w:val="20"/>
        </w:rPr>
        <w:t>particular health practit</w:t>
      </w:r>
      <w:r w:rsidR="00417B50">
        <w:rPr>
          <w:sz w:val="20"/>
          <w:szCs w:val="20"/>
        </w:rPr>
        <w:t>i</w:t>
      </w:r>
      <w:r w:rsidR="00010097">
        <w:rPr>
          <w:sz w:val="20"/>
          <w:szCs w:val="20"/>
        </w:rPr>
        <w:t>oner</w:t>
      </w:r>
      <w:r w:rsidR="003579E7">
        <w:rPr>
          <w:sz w:val="20"/>
          <w:szCs w:val="20"/>
        </w:rPr>
        <w:t xml:space="preserve">. That is, it is not a breach of the National Law for a </w:t>
      </w:r>
      <w:r w:rsidR="00010097">
        <w:rPr>
          <w:sz w:val="20"/>
          <w:szCs w:val="20"/>
        </w:rPr>
        <w:t>podiatry</w:t>
      </w:r>
      <w:r w:rsidR="005413F7">
        <w:rPr>
          <w:sz w:val="20"/>
          <w:szCs w:val="20"/>
        </w:rPr>
        <w:t xml:space="preserve"> </w:t>
      </w:r>
      <w:r w:rsidR="003579E7">
        <w:rPr>
          <w:sz w:val="20"/>
          <w:szCs w:val="20"/>
        </w:rPr>
        <w:t xml:space="preserve">practitioner to use their knowledge and skills relating to the </w:t>
      </w:r>
      <w:r w:rsidR="00010097">
        <w:rPr>
          <w:sz w:val="20"/>
          <w:szCs w:val="20"/>
        </w:rPr>
        <w:t>podiatry</w:t>
      </w:r>
      <w:r w:rsidR="005413F7">
        <w:rPr>
          <w:sz w:val="20"/>
          <w:szCs w:val="20"/>
        </w:rPr>
        <w:t xml:space="preserve"> </w:t>
      </w:r>
      <w:r w:rsidR="003579E7">
        <w:rPr>
          <w:sz w:val="20"/>
          <w:szCs w:val="20"/>
        </w:rPr>
        <w:t>profession without being registered if the individual does not breach the sections of the National Law related to the protection of title or to the specific practice protections.</w:t>
      </w:r>
    </w:p>
    <w:p w:rsidR="003579E7" w:rsidRDefault="003579E7" w:rsidP="003579E7">
      <w:pPr>
        <w:pStyle w:val="Default"/>
        <w:spacing w:line="276" w:lineRule="auto"/>
      </w:pPr>
    </w:p>
    <w:p w:rsidR="003579E7" w:rsidRDefault="003579E7" w:rsidP="003579E7">
      <w:pPr>
        <w:pStyle w:val="Default"/>
        <w:spacing w:line="276" w:lineRule="auto"/>
        <w:rPr>
          <w:sz w:val="20"/>
          <w:szCs w:val="20"/>
        </w:rPr>
      </w:pPr>
      <w:r>
        <w:rPr>
          <w:sz w:val="20"/>
          <w:szCs w:val="20"/>
        </w:rPr>
        <w:t xml:space="preserve">Under the National Law, a person must be a registered health practitioner if they: </w:t>
      </w:r>
    </w:p>
    <w:p w:rsidR="003579E7" w:rsidRDefault="003579E7" w:rsidP="003579E7">
      <w:pPr>
        <w:pStyle w:val="Default"/>
        <w:spacing w:line="276" w:lineRule="auto"/>
        <w:rPr>
          <w:sz w:val="20"/>
          <w:szCs w:val="20"/>
        </w:rPr>
      </w:pPr>
    </w:p>
    <w:p w:rsidR="003579E7" w:rsidRDefault="003579E7" w:rsidP="003579E7">
      <w:pPr>
        <w:pStyle w:val="Default"/>
        <w:numPr>
          <w:ilvl w:val="0"/>
          <w:numId w:val="32"/>
        </w:numPr>
        <w:spacing w:after="47" w:line="276" w:lineRule="auto"/>
        <w:rPr>
          <w:sz w:val="20"/>
          <w:szCs w:val="20"/>
        </w:rPr>
      </w:pPr>
      <w:r>
        <w:rPr>
          <w:sz w:val="20"/>
          <w:szCs w:val="20"/>
        </w:rPr>
        <w:t>use the title “registered health practitioner” with or without any other words (s. 116</w:t>
      </w:r>
      <w:r w:rsidR="00010097">
        <w:rPr>
          <w:sz w:val="20"/>
          <w:szCs w:val="20"/>
        </w:rPr>
        <w:t xml:space="preserve"> (1)</w:t>
      </w:r>
      <w:r>
        <w:rPr>
          <w:sz w:val="20"/>
          <w:szCs w:val="20"/>
        </w:rPr>
        <w:t xml:space="preserve">(a)) </w:t>
      </w:r>
    </w:p>
    <w:p w:rsidR="003579E7" w:rsidRDefault="003579E7" w:rsidP="003579E7">
      <w:pPr>
        <w:pStyle w:val="Default"/>
        <w:numPr>
          <w:ilvl w:val="0"/>
          <w:numId w:val="32"/>
        </w:numPr>
        <w:spacing w:after="47" w:line="276" w:lineRule="auto"/>
        <w:rPr>
          <w:sz w:val="20"/>
          <w:szCs w:val="20"/>
        </w:rPr>
      </w:pPr>
      <w:r>
        <w:rPr>
          <w:sz w:val="20"/>
          <w:szCs w:val="20"/>
        </w:rPr>
        <w:t>take or use a title, name, initial, symbol, word or description that, having regard to the circumstances in which it is taken or used, indicates or could be reasonably understood to indicate, that the person is a health practitioner or is authorised or qualified to practise in a health profession (s. 116</w:t>
      </w:r>
      <w:r w:rsidR="00010097">
        <w:rPr>
          <w:sz w:val="20"/>
          <w:szCs w:val="20"/>
        </w:rPr>
        <w:t xml:space="preserve"> (1)</w:t>
      </w:r>
      <w:r>
        <w:rPr>
          <w:sz w:val="20"/>
          <w:szCs w:val="20"/>
        </w:rPr>
        <w:t xml:space="preserve">(b)) </w:t>
      </w:r>
    </w:p>
    <w:p w:rsidR="003579E7" w:rsidRDefault="003579E7" w:rsidP="003579E7">
      <w:pPr>
        <w:pStyle w:val="Default"/>
        <w:numPr>
          <w:ilvl w:val="0"/>
          <w:numId w:val="32"/>
        </w:numPr>
        <w:spacing w:after="47" w:line="276" w:lineRule="auto"/>
        <w:rPr>
          <w:sz w:val="20"/>
          <w:szCs w:val="20"/>
        </w:rPr>
      </w:pPr>
      <w:r>
        <w:rPr>
          <w:sz w:val="20"/>
          <w:szCs w:val="20"/>
        </w:rPr>
        <w:t>claim to be registered under the National Law or hold themselves out registered under the National Law (s. 116</w:t>
      </w:r>
      <w:r w:rsidR="00417B50">
        <w:rPr>
          <w:sz w:val="20"/>
          <w:szCs w:val="20"/>
        </w:rPr>
        <w:t xml:space="preserve"> (1) </w:t>
      </w:r>
      <w:r>
        <w:rPr>
          <w:sz w:val="20"/>
          <w:szCs w:val="20"/>
        </w:rPr>
        <w:t xml:space="preserve">(c)) </w:t>
      </w:r>
    </w:p>
    <w:p w:rsidR="003579E7" w:rsidRDefault="003579E7" w:rsidP="003579E7">
      <w:pPr>
        <w:pStyle w:val="Default"/>
        <w:numPr>
          <w:ilvl w:val="0"/>
          <w:numId w:val="32"/>
        </w:numPr>
        <w:spacing w:after="47" w:line="276" w:lineRule="auto"/>
        <w:rPr>
          <w:sz w:val="20"/>
          <w:szCs w:val="20"/>
        </w:rPr>
      </w:pPr>
      <w:r>
        <w:rPr>
          <w:sz w:val="20"/>
          <w:szCs w:val="20"/>
        </w:rPr>
        <w:t>claim to be qualified to practise as a health practitioner (s. 116</w:t>
      </w:r>
      <w:r w:rsidR="00010097">
        <w:rPr>
          <w:sz w:val="20"/>
          <w:szCs w:val="20"/>
        </w:rPr>
        <w:t xml:space="preserve"> (1)</w:t>
      </w:r>
      <w:r>
        <w:rPr>
          <w:sz w:val="20"/>
          <w:szCs w:val="20"/>
        </w:rPr>
        <w:t xml:space="preserve">(d)) </w:t>
      </w:r>
    </w:p>
    <w:p w:rsidR="003579E7" w:rsidRDefault="003579E7" w:rsidP="003579E7">
      <w:pPr>
        <w:pStyle w:val="Default"/>
        <w:numPr>
          <w:ilvl w:val="0"/>
          <w:numId w:val="32"/>
        </w:numPr>
        <w:spacing w:line="276" w:lineRule="auto"/>
        <w:rPr>
          <w:sz w:val="20"/>
          <w:szCs w:val="20"/>
        </w:rPr>
      </w:pPr>
      <w:r>
        <w:rPr>
          <w:sz w:val="20"/>
          <w:szCs w:val="20"/>
        </w:rPr>
        <w:t>undertake a restricted act (which are specific dental acts, prescription of optical appliances and manipulation of the cervical spine</w:t>
      </w:r>
      <w:r w:rsidR="00427F5C">
        <w:rPr>
          <w:sz w:val="20"/>
          <w:szCs w:val="20"/>
        </w:rPr>
        <w:t xml:space="preserve"> and restricted to specified professions</w:t>
      </w:r>
      <w:r w:rsidR="00010097">
        <w:rPr>
          <w:sz w:val="20"/>
          <w:szCs w:val="20"/>
        </w:rPr>
        <w:t xml:space="preserve"> - s</w:t>
      </w:r>
      <w:r w:rsidR="00427F5C">
        <w:rPr>
          <w:sz w:val="20"/>
          <w:szCs w:val="20"/>
        </w:rPr>
        <w:t>s</w:t>
      </w:r>
      <w:r w:rsidR="00010097">
        <w:rPr>
          <w:sz w:val="20"/>
          <w:szCs w:val="20"/>
        </w:rPr>
        <w:t>. 121, 122 and 123</w:t>
      </w:r>
      <w:r>
        <w:rPr>
          <w:sz w:val="20"/>
          <w:szCs w:val="20"/>
        </w:rPr>
        <w:t xml:space="preserve">).  </w:t>
      </w:r>
    </w:p>
    <w:p w:rsidR="003579E7" w:rsidRDefault="003579E7" w:rsidP="003579E7">
      <w:pPr>
        <w:pStyle w:val="Default"/>
        <w:spacing w:line="276" w:lineRule="auto"/>
        <w:rPr>
          <w:sz w:val="20"/>
          <w:szCs w:val="20"/>
        </w:rPr>
      </w:pPr>
    </w:p>
    <w:p w:rsidR="003579E7" w:rsidDel="00774291" w:rsidRDefault="003579E7" w:rsidP="003579E7">
      <w:pPr>
        <w:pStyle w:val="Default"/>
        <w:spacing w:line="276" w:lineRule="auto"/>
        <w:rPr>
          <w:sz w:val="20"/>
          <w:szCs w:val="20"/>
        </w:rPr>
      </w:pPr>
      <w:r>
        <w:rPr>
          <w:sz w:val="20"/>
          <w:szCs w:val="20"/>
        </w:rPr>
        <w:t xml:space="preserve">The online national </w:t>
      </w:r>
      <w:r w:rsidR="005413F7">
        <w:rPr>
          <w:sz w:val="20"/>
          <w:szCs w:val="20"/>
        </w:rPr>
        <w:t>R</w:t>
      </w:r>
      <w:r>
        <w:rPr>
          <w:sz w:val="20"/>
          <w:szCs w:val="20"/>
        </w:rPr>
        <w:t>egister</w:t>
      </w:r>
      <w:r w:rsidR="005413F7">
        <w:rPr>
          <w:sz w:val="20"/>
          <w:szCs w:val="20"/>
        </w:rPr>
        <w:t xml:space="preserve"> of Practitioners</w:t>
      </w:r>
      <w:r>
        <w:rPr>
          <w:sz w:val="20"/>
          <w:szCs w:val="20"/>
        </w:rPr>
        <w:t xml:space="preserve"> allows the public to identify who is a registered health practitioner. Practitioners who are registered must meet the registration standards set by the relevant National Board. The public can therefore be confident that a registered practitioner meets the relevant requirements for professional indemnity insurance, continuing professional development and recency of practice.</w:t>
      </w:r>
    </w:p>
    <w:p w:rsidR="003579E7" w:rsidRDefault="003579E7" w:rsidP="003579E7">
      <w:pPr>
        <w:pStyle w:val="Default"/>
        <w:spacing w:line="276" w:lineRule="auto"/>
      </w:pPr>
    </w:p>
    <w:p w:rsidR="003579E7" w:rsidRDefault="005413F7" w:rsidP="003579E7">
      <w:pPr>
        <w:pStyle w:val="AHPRASubhead"/>
      </w:pPr>
      <w:r>
        <w:t xml:space="preserve">The </w:t>
      </w:r>
      <w:r w:rsidR="00010097" w:rsidRPr="00010097">
        <w:t>Podiatry</w:t>
      </w:r>
      <w:r w:rsidRPr="00010097">
        <w:t xml:space="preserve"> </w:t>
      </w:r>
      <w:r>
        <w:t>Board’s advice on who should</w:t>
      </w:r>
      <w:r w:rsidR="003579E7">
        <w:t xml:space="preserve"> be registered</w:t>
      </w:r>
    </w:p>
    <w:p w:rsidR="003579E7" w:rsidRDefault="003579E7" w:rsidP="003579E7">
      <w:pPr>
        <w:pStyle w:val="Default"/>
        <w:spacing w:before="240" w:line="276" w:lineRule="auto"/>
        <w:rPr>
          <w:sz w:val="20"/>
          <w:szCs w:val="20"/>
        </w:rPr>
      </w:pPr>
      <w:r>
        <w:rPr>
          <w:sz w:val="20"/>
          <w:szCs w:val="20"/>
        </w:rPr>
        <w:t>Any practitioner who is qualified</w:t>
      </w:r>
      <w:r w:rsidR="00B41857">
        <w:rPr>
          <w:sz w:val="20"/>
          <w:szCs w:val="20"/>
        </w:rPr>
        <w:t>,</w:t>
      </w:r>
      <w:r>
        <w:rPr>
          <w:sz w:val="20"/>
          <w:szCs w:val="20"/>
        </w:rPr>
        <w:t xml:space="preserve"> meets the applicable registration standards</w:t>
      </w:r>
      <w:r w:rsidR="005413F7">
        <w:rPr>
          <w:sz w:val="20"/>
          <w:szCs w:val="20"/>
        </w:rPr>
        <w:t xml:space="preserve"> of the </w:t>
      </w:r>
      <w:r w:rsidR="00010097">
        <w:rPr>
          <w:sz w:val="20"/>
          <w:szCs w:val="20"/>
        </w:rPr>
        <w:t>Podiatry</w:t>
      </w:r>
      <w:r w:rsidR="005413F7">
        <w:rPr>
          <w:sz w:val="20"/>
          <w:szCs w:val="20"/>
        </w:rPr>
        <w:t xml:space="preserve"> Board of Australia</w:t>
      </w:r>
      <w:r>
        <w:rPr>
          <w:sz w:val="20"/>
          <w:szCs w:val="20"/>
        </w:rPr>
        <w:t xml:space="preserve"> </w:t>
      </w:r>
      <w:r w:rsidR="00B41857">
        <w:rPr>
          <w:sz w:val="20"/>
          <w:szCs w:val="20"/>
        </w:rPr>
        <w:t xml:space="preserve">and is otherwise eligible under the National Law </w:t>
      </w:r>
      <w:r>
        <w:rPr>
          <w:sz w:val="20"/>
          <w:szCs w:val="20"/>
        </w:rPr>
        <w:t xml:space="preserve">may apply for registration.  </w:t>
      </w:r>
    </w:p>
    <w:p w:rsidR="003579E7" w:rsidRDefault="003579E7" w:rsidP="003579E7">
      <w:pPr>
        <w:pStyle w:val="Default"/>
        <w:spacing w:before="240" w:line="276" w:lineRule="auto"/>
        <w:rPr>
          <w:sz w:val="20"/>
          <w:szCs w:val="20"/>
        </w:rPr>
      </w:pPr>
      <w:r>
        <w:rPr>
          <w:sz w:val="20"/>
          <w:szCs w:val="20"/>
        </w:rPr>
        <w:t xml:space="preserve">It is up to each individual to decide </w:t>
      </w:r>
      <w:r w:rsidR="00D62716">
        <w:rPr>
          <w:sz w:val="20"/>
          <w:szCs w:val="20"/>
        </w:rPr>
        <w:t xml:space="preserve">whether or not </w:t>
      </w:r>
      <w:r w:rsidR="00751AEF">
        <w:rPr>
          <w:sz w:val="20"/>
          <w:szCs w:val="20"/>
        </w:rPr>
        <w:t xml:space="preserve">he or she </w:t>
      </w:r>
      <w:r w:rsidR="00D62716">
        <w:rPr>
          <w:sz w:val="20"/>
          <w:szCs w:val="20"/>
        </w:rPr>
        <w:t>need</w:t>
      </w:r>
      <w:r w:rsidR="00751AEF">
        <w:rPr>
          <w:sz w:val="20"/>
          <w:szCs w:val="20"/>
        </w:rPr>
        <w:t>s</w:t>
      </w:r>
      <w:r w:rsidR="00D62716">
        <w:rPr>
          <w:sz w:val="20"/>
          <w:szCs w:val="20"/>
        </w:rPr>
        <w:t xml:space="preserve"> to be registered</w:t>
      </w:r>
      <w:r>
        <w:rPr>
          <w:sz w:val="20"/>
          <w:szCs w:val="20"/>
        </w:rPr>
        <w:t xml:space="preserve">.  Under the National Law this is not a decision the </w:t>
      </w:r>
      <w:r w:rsidR="00B41857">
        <w:rPr>
          <w:sz w:val="20"/>
          <w:szCs w:val="20"/>
        </w:rPr>
        <w:t>Podiatry</w:t>
      </w:r>
      <w:r w:rsidR="004C3C13">
        <w:rPr>
          <w:sz w:val="20"/>
          <w:szCs w:val="20"/>
        </w:rPr>
        <w:t xml:space="preserve"> </w:t>
      </w:r>
      <w:r>
        <w:rPr>
          <w:sz w:val="20"/>
          <w:szCs w:val="20"/>
        </w:rPr>
        <w:t>Board can make</w:t>
      </w:r>
      <w:r w:rsidR="00FF323F">
        <w:rPr>
          <w:sz w:val="20"/>
          <w:szCs w:val="20"/>
        </w:rPr>
        <w:t xml:space="preserve"> in the absence of an application for registration</w:t>
      </w:r>
      <w:r>
        <w:rPr>
          <w:sz w:val="20"/>
          <w:szCs w:val="20"/>
        </w:rPr>
        <w:t xml:space="preserve">.  However, </w:t>
      </w:r>
      <w:r w:rsidR="00427F5C">
        <w:rPr>
          <w:sz w:val="20"/>
          <w:szCs w:val="20"/>
        </w:rPr>
        <w:t>podiatry</w:t>
      </w:r>
      <w:r w:rsidR="004C3C13">
        <w:rPr>
          <w:sz w:val="20"/>
          <w:szCs w:val="20"/>
        </w:rPr>
        <w:t xml:space="preserve"> </w:t>
      </w:r>
      <w:r>
        <w:rPr>
          <w:sz w:val="20"/>
          <w:szCs w:val="20"/>
        </w:rPr>
        <w:t xml:space="preserve">practitioners who are registered, become subject to the jurisdiction of the </w:t>
      </w:r>
      <w:r w:rsidR="00427F5C" w:rsidRPr="00427F5C">
        <w:rPr>
          <w:sz w:val="20"/>
          <w:szCs w:val="20"/>
        </w:rPr>
        <w:t>Podiatry</w:t>
      </w:r>
      <w:r w:rsidR="004C3C13" w:rsidRPr="00427F5C">
        <w:rPr>
          <w:sz w:val="20"/>
          <w:szCs w:val="20"/>
        </w:rPr>
        <w:t xml:space="preserve"> </w:t>
      </w:r>
      <w:r>
        <w:rPr>
          <w:sz w:val="20"/>
          <w:szCs w:val="20"/>
        </w:rPr>
        <w:t>Board</w:t>
      </w:r>
      <w:r w:rsidR="00751AEF">
        <w:rPr>
          <w:sz w:val="20"/>
          <w:szCs w:val="20"/>
        </w:rPr>
        <w:t xml:space="preserve"> of Australia</w:t>
      </w:r>
      <w:r>
        <w:rPr>
          <w:sz w:val="20"/>
          <w:szCs w:val="20"/>
        </w:rPr>
        <w:t xml:space="preserve">.  </w:t>
      </w:r>
    </w:p>
    <w:p w:rsidR="00A7683D" w:rsidRDefault="003579E7" w:rsidP="009D27CE">
      <w:pPr>
        <w:pStyle w:val="AHPRASubhead"/>
        <w:spacing w:before="240" w:line="276" w:lineRule="auto"/>
        <w:rPr>
          <w:b w:val="0"/>
          <w:color w:val="auto"/>
          <w:szCs w:val="20"/>
        </w:rPr>
      </w:pPr>
      <w:r w:rsidRPr="009D27CE">
        <w:rPr>
          <w:b w:val="0"/>
          <w:color w:val="auto"/>
          <w:szCs w:val="20"/>
        </w:rPr>
        <w:t xml:space="preserve">The </w:t>
      </w:r>
      <w:r w:rsidR="00427F5C" w:rsidRPr="009D27CE">
        <w:rPr>
          <w:b w:val="0"/>
          <w:color w:val="auto"/>
          <w:szCs w:val="20"/>
        </w:rPr>
        <w:t>Podiatry</w:t>
      </w:r>
      <w:r w:rsidR="004C3C13" w:rsidRPr="009D27CE">
        <w:rPr>
          <w:b w:val="0"/>
          <w:color w:val="auto"/>
          <w:szCs w:val="20"/>
        </w:rPr>
        <w:t xml:space="preserve"> </w:t>
      </w:r>
      <w:r w:rsidRPr="009D27CE">
        <w:rPr>
          <w:b w:val="0"/>
          <w:color w:val="auto"/>
          <w:szCs w:val="20"/>
        </w:rPr>
        <w:t>Board provides the following advice, based on the objectives of the National Law to help practitioners decide whether or not they should be registered</w:t>
      </w:r>
      <w:r w:rsidR="009D27CE">
        <w:rPr>
          <w:b w:val="0"/>
          <w:color w:val="auto"/>
          <w:szCs w:val="20"/>
        </w:rPr>
        <w:t>.</w:t>
      </w:r>
    </w:p>
    <w:p w:rsidR="009D27CE" w:rsidRPr="009D27CE" w:rsidRDefault="009D27CE" w:rsidP="009D27CE">
      <w:pPr>
        <w:pStyle w:val="AHPRASubhead"/>
        <w:spacing w:before="240" w:line="276" w:lineRule="auto"/>
        <w:rPr>
          <w:b w:val="0"/>
          <w:color w:val="auto"/>
          <w:sz w:val="24"/>
        </w:rPr>
      </w:pPr>
    </w:p>
    <w:p w:rsidR="003579E7" w:rsidRPr="00B30E77" w:rsidRDefault="004C3C13" w:rsidP="003579E7">
      <w:pPr>
        <w:pStyle w:val="Default"/>
        <w:spacing w:before="240" w:line="276" w:lineRule="auto"/>
        <w:rPr>
          <w:sz w:val="20"/>
          <w:szCs w:val="20"/>
        </w:rPr>
      </w:pPr>
      <w:r w:rsidRPr="00427F5C">
        <w:rPr>
          <w:color w:val="auto"/>
          <w:sz w:val="20"/>
          <w:szCs w:val="20"/>
        </w:rPr>
        <w:t>As the primary purpose of registration is to protect the public, t</w:t>
      </w:r>
      <w:r w:rsidR="003579E7" w:rsidRPr="00427F5C">
        <w:rPr>
          <w:color w:val="auto"/>
          <w:sz w:val="20"/>
          <w:szCs w:val="20"/>
        </w:rPr>
        <w:t>he</w:t>
      </w:r>
      <w:r w:rsidR="003579E7" w:rsidRPr="00B30E77">
        <w:rPr>
          <w:sz w:val="20"/>
          <w:szCs w:val="20"/>
        </w:rPr>
        <w:t xml:space="preserve"> </w:t>
      </w:r>
      <w:r w:rsidR="00427F5C">
        <w:rPr>
          <w:sz w:val="20"/>
          <w:szCs w:val="20"/>
        </w:rPr>
        <w:t>Podiatry</w:t>
      </w:r>
      <w:r>
        <w:rPr>
          <w:sz w:val="20"/>
          <w:szCs w:val="20"/>
        </w:rPr>
        <w:t xml:space="preserve"> </w:t>
      </w:r>
      <w:bookmarkStart w:id="2" w:name="_GoBack"/>
      <w:bookmarkEnd w:id="2"/>
      <w:r w:rsidR="003579E7" w:rsidRPr="00B30E77">
        <w:rPr>
          <w:sz w:val="20"/>
          <w:szCs w:val="20"/>
        </w:rPr>
        <w:t>Board consider</w:t>
      </w:r>
      <w:r>
        <w:rPr>
          <w:sz w:val="20"/>
          <w:szCs w:val="20"/>
        </w:rPr>
        <w:t>s</w:t>
      </w:r>
      <w:r w:rsidR="003579E7" w:rsidRPr="00B30E77">
        <w:rPr>
          <w:sz w:val="20"/>
          <w:szCs w:val="20"/>
        </w:rPr>
        <w:t xml:space="preserve"> that practitioners should be registered if they are providing treatment or opinion about the health of a person, including prescribing or formally referring to other registered health practitioners</w:t>
      </w:r>
      <w:r w:rsidR="003579E7">
        <w:rPr>
          <w:sz w:val="20"/>
          <w:szCs w:val="20"/>
        </w:rPr>
        <w:t>,</w:t>
      </w:r>
      <w:r w:rsidR="003579E7" w:rsidRPr="00B30E77">
        <w:rPr>
          <w:sz w:val="20"/>
          <w:szCs w:val="20"/>
        </w:rPr>
        <w:t xml:space="preserve"> or whe</w:t>
      </w:r>
      <w:r w:rsidR="003579E7">
        <w:rPr>
          <w:sz w:val="20"/>
          <w:szCs w:val="20"/>
        </w:rPr>
        <w:t>n</w:t>
      </w:r>
      <w:r w:rsidR="003579E7" w:rsidRPr="00B30E77">
        <w:rPr>
          <w:sz w:val="20"/>
          <w:szCs w:val="20"/>
        </w:rPr>
        <w:t xml:space="preserve"> a person may reasonably believe that the practitioner is registered. </w:t>
      </w:r>
    </w:p>
    <w:p w:rsidR="003579E7" w:rsidRDefault="003579E7" w:rsidP="003579E7">
      <w:pPr>
        <w:pStyle w:val="Default"/>
        <w:spacing w:before="240" w:line="276" w:lineRule="auto"/>
        <w:rPr>
          <w:sz w:val="20"/>
          <w:szCs w:val="20"/>
        </w:rPr>
      </w:pPr>
      <w:r>
        <w:rPr>
          <w:sz w:val="20"/>
          <w:szCs w:val="20"/>
        </w:rPr>
        <w:t xml:space="preserve">Practitioners should take the following factors into consideration when deciding whether they need to be registered.  </w:t>
      </w:r>
    </w:p>
    <w:p w:rsidR="003579E7" w:rsidRDefault="00FF323F" w:rsidP="009D27CE">
      <w:pPr>
        <w:pStyle w:val="Default"/>
        <w:spacing w:before="240" w:after="120" w:line="276" w:lineRule="auto"/>
        <w:rPr>
          <w:sz w:val="20"/>
          <w:szCs w:val="20"/>
        </w:rPr>
      </w:pPr>
      <w:r>
        <w:rPr>
          <w:sz w:val="20"/>
          <w:szCs w:val="20"/>
        </w:rPr>
        <w:t xml:space="preserve">Examples of when </w:t>
      </w:r>
      <w:r w:rsidR="004C3C13">
        <w:rPr>
          <w:sz w:val="20"/>
          <w:szCs w:val="20"/>
        </w:rPr>
        <w:t xml:space="preserve">the </w:t>
      </w:r>
      <w:r w:rsidR="00751AEF">
        <w:rPr>
          <w:sz w:val="20"/>
          <w:szCs w:val="20"/>
        </w:rPr>
        <w:t>Podiatry</w:t>
      </w:r>
      <w:r w:rsidR="004C3C13">
        <w:rPr>
          <w:sz w:val="20"/>
          <w:szCs w:val="20"/>
        </w:rPr>
        <w:t xml:space="preserve"> </w:t>
      </w:r>
      <w:r w:rsidR="004C3C13" w:rsidRPr="00B30E77">
        <w:rPr>
          <w:sz w:val="20"/>
          <w:szCs w:val="20"/>
        </w:rPr>
        <w:t xml:space="preserve">Board </w:t>
      </w:r>
      <w:r w:rsidR="004C3C13">
        <w:rPr>
          <w:sz w:val="20"/>
          <w:szCs w:val="20"/>
        </w:rPr>
        <w:t xml:space="preserve">considers that </w:t>
      </w:r>
      <w:r w:rsidR="003579E7">
        <w:rPr>
          <w:sz w:val="20"/>
          <w:szCs w:val="20"/>
        </w:rPr>
        <w:t>practitioners should be registered i</w:t>
      </w:r>
      <w:r>
        <w:rPr>
          <w:sz w:val="20"/>
          <w:szCs w:val="20"/>
        </w:rPr>
        <w:t>nclude</w:t>
      </w:r>
      <w:r w:rsidR="003579E7">
        <w:rPr>
          <w:sz w:val="20"/>
          <w:szCs w:val="20"/>
        </w:rPr>
        <w:t>:</w:t>
      </w:r>
    </w:p>
    <w:p w:rsidR="003579E7" w:rsidRPr="00B30E77" w:rsidRDefault="003579E7" w:rsidP="009D27CE">
      <w:pPr>
        <w:pStyle w:val="ColorfulList-Accent11"/>
        <w:numPr>
          <w:ilvl w:val="0"/>
          <w:numId w:val="30"/>
        </w:numPr>
        <w:spacing w:after="120"/>
        <w:rPr>
          <w:rFonts w:ascii="Arial" w:hAnsi="Arial"/>
          <w:sz w:val="20"/>
          <w:szCs w:val="20"/>
        </w:rPr>
      </w:pPr>
      <w:r w:rsidRPr="00B30E77">
        <w:rPr>
          <w:rFonts w:ascii="Arial" w:hAnsi="Arial"/>
          <w:sz w:val="20"/>
          <w:szCs w:val="20"/>
        </w:rPr>
        <w:t xml:space="preserve">they have direct clinical contact </w:t>
      </w:r>
      <w:r w:rsidR="00E87725">
        <w:rPr>
          <w:rFonts w:ascii="Arial" w:hAnsi="Arial"/>
          <w:sz w:val="20"/>
          <w:szCs w:val="20"/>
        </w:rPr>
        <w:t xml:space="preserve">with a person </w:t>
      </w:r>
      <w:r w:rsidRPr="00B30E77">
        <w:rPr>
          <w:rFonts w:ascii="Arial" w:hAnsi="Arial"/>
          <w:sz w:val="20"/>
          <w:szCs w:val="20"/>
        </w:rPr>
        <w:t xml:space="preserve">and/or </w:t>
      </w:r>
    </w:p>
    <w:p w:rsidR="009D27CE" w:rsidRDefault="009D27CE" w:rsidP="009D27CE">
      <w:pPr>
        <w:pStyle w:val="ColorfulList-Accent11"/>
        <w:spacing w:before="120"/>
        <w:rPr>
          <w:rFonts w:ascii="Arial" w:hAnsi="Arial"/>
          <w:sz w:val="20"/>
          <w:szCs w:val="20"/>
        </w:rPr>
      </w:pPr>
    </w:p>
    <w:p w:rsidR="003579E7" w:rsidRDefault="003579E7" w:rsidP="009D27CE">
      <w:pPr>
        <w:pStyle w:val="ColorfulList-Accent11"/>
        <w:numPr>
          <w:ilvl w:val="0"/>
          <w:numId w:val="30"/>
        </w:numPr>
        <w:spacing w:before="120" w:after="120"/>
        <w:rPr>
          <w:rFonts w:ascii="Arial" w:hAnsi="Arial"/>
          <w:sz w:val="20"/>
          <w:szCs w:val="20"/>
        </w:rPr>
      </w:pPr>
      <w:r w:rsidRPr="00B30E77">
        <w:rPr>
          <w:rFonts w:ascii="Arial" w:hAnsi="Arial"/>
          <w:sz w:val="20"/>
          <w:szCs w:val="20"/>
        </w:rPr>
        <w:t xml:space="preserve">their work impacts on safe, effective delivery of health services to individuals and/or </w:t>
      </w:r>
    </w:p>
    <w:p w:rsidR="009D27CE" w:rsidRPr="00B30E77" w:rsidRDefault="009D27CE" w:rsidP="009D27CE">
      <w:pPr>
        <w:pStyle w:val="ColorfulList-Accent11"/>
        <w:spacing w:before="120" w:after="120"/>
        <w:rPr>
          <w:rFonts w:ascii="Arial" w:hAnsi="Arial"/>
          <w:sz w:val="20"/>
          <w:szCs w:val="20"/>
        </w:rPr>
      </w:pPr>
    </w:p>
    <w:p w:rsidR="003579E7" w:rsidRDefault="003579E7" w:rsidP="009D27CE">
      <w:pPr>
        <w:pStyle w:val="ColorfulList-Accent11"/>
        <w:numPr>
          <w:ilvl w:val="0"/>
          <w:numId w:val="30"/>
        </w:numPr>
        <w:spacing w:before="120" w:after="120"/>
        <w:rPr>
          <w:rFonts w:ascii="Arial" w:hAnsi="Arial"/>
          <w:sz w:val="20"/>
          <w:szCs w:val="20"/>
        </w:rPr>
      </w:pPr>
      <w:r w:rsidRPr="00B30E77">
        <w:rPr>
          <w:rFonts w:ascii="Arial" w:hAnsi="Arial"/>
          <w:sz w:val="20"/>
          <w:szCs w:val="20"/>
        </w:rPr>
        <w:t>they are directing or supervising or advising other health</w:t>
      </w:r>
      <w:r w:rsidR="009D27CE">
        <w:rPr>
          <w:rFonts w:ascii="Arial" w:hAnsi="Arial"/>
          <w:sz w:val="20"/>
          <w:szCs w:val="20"/>
        </w:rPr>
        <w:t xml:space="preserve"> practitioners about the health</w:t>
      </w:r>
      <w:r w:rsidRPr="00B30E77">
        <w:rPr>
          <w:rFonts w:ascii="Arial" w:hAnsi="Arial"/>
          <w:sz w:val="20"/>
          <w:szCs w:val="20"/>
        </w:rPr>
        <w:t xml:space="preserve">care of an individual(s) and/or </w:t>
      </w:r>
    </w:p>
    <w:p w:rsidR="009D27CE" w:rsidRPr="00B30E77" w:rsidRDefault="009D27CE" w:rsidP="009D27CE">
      <w:pPr>
        <w:pStyle w:val="ColorfulList-Accent11"/>
        <w:spacing w:before="120" w:after="120"/>
        <w:rPr>
          <w:rFonts w:ascii="Arial" w:hAnsi="Arial"/>
          <w:sz w:val="20"/>
          <w:szCs w:val="20"/>
        </w:rPr>
      </w:pPr>
    </w:p>
    <w:p w:rsidR="003579E7" w:rsidRDefault="003579E7" w:rsidP="003579E7">
      <w:pPr>
        <w:pStyle w:val="ColorfulList-Accent11"/>
        <w:numPr>
          <w:ilvl w:val="0"/>
          <w:numId w:val="30"/>
        </w:numPr>
        <w:rPr>
          <w:rFonts w:ascii="Arial" w:hAnsi="Arial"/>
          <w:sz w:val="20"/>
          <w:szCs w:val="20"/>
        </w:rPr>
      </w:pPr>
      <w:r w:rsidRPr="00B30E77">
        <w:rPr>
          <w:rFonts w:ascii="Arial" w:hAnsi="Arial"/>
          <w:sz w:val="20"/>
          <w:szCs w:val="20"/>
        </w:rPr>
        <w:t xml:space="preserve">their employer and their employer’s professional indemnity insurer requires a person in that role to be registered and/or </w:t>
      </w:r>
    </w:p>
    <w:p w:rsidR="009D27CE" w:rsidRPr="00B30E77" w:rsidRDefault="009D27CE" w:rsidP="009D27CE">
      <w:pPr>
        <w:pStyle w:val="ColorfulList-Accent11"/>
        <w:rPr>
          <w:rFonts w:ascii="Arial" w:hAnsi="Arial"/>
          <w:sz w:val="20"/>
          <w:szCs w:val="20"/>
        </w:rPr>
      </w:pPr>
    </w:p>
    <w:p w:rsidR="003579E7" w:rsidRDefault="003579E7" w:rsidP="003579E7">
      <w:pPr>
        <w:pStyle w:val="ColorfulList-Accent11"/>
        <w:numPr>
          <w:ilvl w:val="0"/>
          <w:numId w:val="30"/>
        </w:numPr>
        <w:rPr>
          <w:rFonts w:ascii="Arial" w:hAnsi="Arial"/>
          <w:sz w:val="20"/>
          <w:szCs w:val="20"/>
        </w:rPr>
      </w:pPr>
      <w:r w:rsidRPr="00B30E77">
        <w:rPr>
          <w:rFonts w:ascii="Arial" w:hAnsi="Arial"/>
          <w:sz w:val="20"/>
          <w:szCs w:val="20"/>
        </w:rPr>
        <w:t>the practitioner’s professional peers and the community would expect a person i</w:t>
      </w:r>
      <w:r w:rsidR="00417B50">
        <w:rPr>
          <w:rFonts w:ascii="Arial" w:hAnsi="Arial"/>
          <w:sz w:val="20"/>
          <w:szCs w:val="20"/>
        </w:rPr>
        <w:t>n that role to comply with the Podiatry</w:t>
      </w:r>
      <w:r w:rsidRPr="00B30E77">
        <w:rPr>
          <w:rFonts w:ascii="Arial" w:hAnsi="Arial"/>
          <w:sz w:val="20"/>
          <w:szCs w:val="20"/>
        </w:rPr>
        <w:t xml:space="preserve"> Board’s registration standards for professional indemnity insurance (PII), continuing professional development (CPD) and recency of practice and/or</w:t>
      </w:r>
    </w:p>
    <w:p w:rsidR="009D27CE" w:rsidRPr="00B30E77" w:rsidRDefault="009D27CE" w:rsidP="009D27CE">
      <w:pPr>
        <w:pStyle w:val="ColorfulList-Accent11"/>
        <w:rPr>
          <w:rFonts w:ascii="Arial" w:hAnsi="Arial"/>
          <w:sz w:val="20"/>
          <w:szCs w:val="20"/>
        </w:rPr>
      </w:pPr>
    </w:p>
    <w:p w:rsidR="003579E7" w:rsidRDefault="003579E7" w:rsidP="003579E7">
      <w:pPr>
        <w:pStyle w:val="ColorfulList-Accent11"/>
        <w:numPr>
          <w:ilvl w:val="0"/>
          <w:numId w:val="30"/>
        </w:numPr>
        <w:rPr>
          <w:rFonts w:ascii="Arial" w:hAnsi="Arial"/>
          <w:sz w:val="20"/>
          <w:szCs w:val="20"/>
        </w:rPr>
      </w:pPr>
      <w:r w:rsidRPr="00B30E77">
        <w:rPr>
          <w:rFonts w:ascii="Arial" w:hAnsi="Arial"/>
          <w:sz w:val="20"/>
          <w:szCs w:val="20"/>
        </w:rPr>
        <w:t xml:space="preserve">the person is required to be registered under a law to undertake a specific activity </w:t>
      </w:r>
    </w:p>
    <w:p w:rsidR="009D27CE" w:rsidRPr="00B30E77" w:rsidRDefault="009D27CE" w:rsidP="009D27CE">
      <w:pPr>
        <w:pStyle w:val="ColorfulList-Accent11"/>
        <w:rPr>
          <w:rFonts w:ascii="Arial" w:hAnsi="Arial"/>
          <w:sz w:val="20"/>
          <w:szCs w:val="20"/>
        </w:rPr>
      </w:pPr>
    </w:p>
    <w:p w:rsidR="003579E7" w:rsidRDefault="003579E7" w:rsidP="003579E7">
      <w:pPr>
        <w:pStyle w:val="ColorfulList-Accent11"/>
        <w:numPr>
          <w:ilvl w:val="0"/>
          <w:numId w:val="30"/>
        </w:numPr>
        <w:rPr>
          <w:rFonts w:ascii="Arial" w:hAnsi="Arial"/>
          <w:sz w:val="20"/>
          <w:szCs w:val="20"/>
        </w:rPr>
      </w:pPr>
      <w:r w:rsidRPr="00B30E77">
        <w:rPr>
          <w:rFonts w:ascii="Arial" w:hAnsi="Arial"/>
          <w:sz w:val="20"/>
          <w:szCs w:val="20"/>
        </w:rPr>
        <w:t>the person wishes to use a protected title which is reserved for registered health practitioners</w:t>
      </w:r>
    </w:p>
    <w:p w:rsidR="009D27CE" w:rsidRPr="00B30E77" w:rsidRDefault="009D27CE" w:rsidP="009D27CE">
      <w:pPr>
        <w:pStyle w:val="ColorfulList-Accent11"/>
        <w:rPr>
          <w:rFonts w:ascii="Arial" w:hAnsi="Arial"/>
          <w:sz w:val="20"/>
          <w:szCs w:val="20"/>
        </w:rPr>
      </w:pPr>
    </w:p>
    <w:p w:rsidR="004C3C13" w:rsidRDefault="003579E7" w:rsidP="003579E7">
      <w:pPr>
        <w:pStyle w:val="ColorfulList-Accent11"/>
        <w:numPr>
          <w:ilvl w:val="0"/>
          <w:numId w:val="30"/>
        </w:numPr>
        <w:rPr>
          <w:rFonts w:ascii="Arial" w:hAnsi="Arial"/>
          <w:sz w:val="20"/>
          <w:szCs w:val="20"/>
        </w:rPr>
      </w:pPr>
      <w:r>
        <w:rPr>
          <w:rFonts w:ascii="Arial" w:hAnsi="Arial"/>
          <w:sz w:val="20"/>
          <w:szCs w:val="20"/>
        </w:rPr>
        <w:t>t</w:t>
      </w:r>
      <w:r w:rsidRPr="00B30E77">
        <w:rPr>
          <w:rFonts w:ascii="Arial" w:hAnsi="Arial"/>
          <w:sz w:val="20"/>
          <w:szCs w:val="20"/>
        </w:rPr>
        <w:t>hey wish to be eligible for certain Medicare and/or Pharmaceutical Benefit payments</w:t>
      </w:r>
      <w:r w:rsidR="004C3C13">
        <w:rPr>
          <w:rFonts w:ascii="Arial" w:hAnsi="Arial"/>
          <w:sz w:val="20"/>
          <w:szCs w:val="20"/>
        </w:rPr>
        <w:t>.</w:t>
      </w:r>
    </w:p>
    <w:p w:rsidR="003579E7" w:rsidRDefault="00B35015" w:rsidP="00B35015">
      <w:pPr>
        <w:pStyle w:val="AHPRASubhead"/>
      </w:pPr>
      <w:r>
        <w:t>R</w:t>
      </w:r>
      <w:r w:rsidR="003579E7" w:rsidRPr="00774291">
        <w:t xml:space="preserve">oles in which individuals </w:t>
      </w:r>
      <w:r w:rsidR="00FF323F">
        <w:t>may</w:t>
      </w:r>
      <w:r w:rsidR="00FF323F" w:rsidRPr="00774291">
        <w:t xml:space="preserve"> </w:t>
      </w:r>
      <w:r w:rsidR="003579E7" w:rsidRPr="00774291">
        <w:t>not have to be registered</w:t>
      </w:r>
    </w:p>
    <w:p w:rsidR="003579E7" w:rsidRDefault="003579E7" w:rsidP="003579E7">
      <w:pPr>
        <w:pStyle w:val="Default"/>
        <w:spacing w:before="240" w:line="276" w:lineRule="auto"/>
        <w:rPr>
          <w:sz w:val="20"/>
          <w:szCs w:val="20"/>
        </w:rPr>
      </w:pPr>
      <w:r>
        <w:rPr>
          <w:sz w:val="20"/>
          <w:szCs w:val="20"/>
        </w:rPr>
        <w:t xml:space="preserve">The following examples are provided to assist individuals decide whether or not they ought to be registered.  The examples are not exhaustive.  They have been selected based on common queries raised with </w:t>
      </w:r>
      <w:r w:rsidR="00D62716">
        <w:rPr>
          <w:sz w:val="20"/>
          <w:szCs w:val="20"/>
        </w:rPr>
        <w:t>National</w:t>
      </w:r>
      <w:r w:rsidR="00B35015">
        <w:rPr>
          <w:sz w:val="20"/>
          <w:szCs w:val="20"/>
        </w:rPr>
        <w:t xml:space="preserve"> </w:t>
      </w:r>
      <w:r>
        <w:rPr>
          <w:sz w:val="20"/>
          <w:szCs w:val="20"/>
        </w:rPr>
        <w:t>Board</w:t>
      </w:r>
      <w:r w:rsidR="00D62716">
        <w:rPr>
          <w:sz w:val="20"/>
          <w:szCs w:val="20"/>
        </w:rPr>
        <w:t>s</w:t>
      </w:r>
      <w:r>
        <w:rPr>
          <w:sz w:val="20"/>
          <w:szCs w:val="20"/>
        </w:rPr>
        <w:t xml:space="preserve">.  </w:t>
      </w:r>
    </w:p>
    <w:p w:rsidR="003579E7" w:rsidRDefault="003579E7" w:rsidP="003579E7">
      <w:pPr>
        <w:pStyle w:val="Default"/>
        <w:spacing w:before="240" w:line="276" w:lineRule="auto"/>
        <w:rPr>
          <w:sz w:val="20"/>
          <w:szCs w:val="20"/>
        </w:rPr>
      </w:pPr>
      <w:r>
        <w:rPr>
          <w:sz w:val="20"/>
          <w:szCs w:val="20"/>
        </w:rPr>
        <w:t>Each individual practitioner will need to decide whether or not they should be registered on the basis of their own circumstances and using the criteria listed above.</w:t>
      </w:r>
    </w:p>
    <w:p w:rsidR="003579E7" w:rsidRDefault="003579E7" w:rsidP="009D27CE">
      <w:pPr>
        <w:pStyle w:val="Default"/>
        <w:spacing w:before="240" w:after="120" w:line="276" w:lineRule="auto"/>
        <w:rPr>
          <w:sz w:val="20"/>
          <w:szCs w:val="20"/>
        </w:rPr>
      </w:pPr>
      <w:r>
        <w:rPr>
          <w:sz w:val="20"/>
          <w:szCs w:val="20"/>
        </w:rPr>
        <w:t>Practitioners engaging in the following activities may not require registration:</w:t>
      </w:r>
    </w:p>
    <w:p w:rsidR="003579E7" w:rsidRPr="00B30E77" w:rsidRDefault="003579E7" w:rsidP="003579E7">
      <w:pPr>
        <w:pStyle w:val="ColorfulList-Accent11"/>
        <w:numPr>
          <w:ilvl w:val="0"/>
          <w:numId w:val="29"/>
        </w:numPr>
        <w:rPr>
          <w:rFonts w:ascii="Arial" w:hAnsi="Arial"/>
          <w:sz w:val="20"/>
          <w:szCs w:val="20"/>
        </w:rPr>
      </w:pPr>
      <w:r w:rsidRPr="00B30E77">
        <w:rPr>
          <w:rFonts w:ascii="Arial" w:hAnsi="Arial"/>
          <w:sz w:val="20"/>
          <w:szCs w:val="20"/>
        </w:rPr>
        <w:t xml:space="preserve">An examiner or assessor for an accreditation council, when the council does not believe that registration is necessary for the scope of activity undertaken and </w:t>
      </w:r>
      <w:r w:rsidR="00532603">
        <w:rPr>
          <w:rFonts w:ascii="Arial" w:hAnsi="Arial"/>
          <w:sz w:val="20"/>
          <w:szCs w:val="20"/>
        </w:rPr>
        <w:t>provided</w:t>
      </w:r>
      <w:r w:rsidR="00532603" w:rsidRPr="00B30E77">
        <w:rPr>
          <w:rFonts w:ascii="Arial" w:hAnsi="Arial"/>
          <w:sz w:val="20"/>
          <w:szCs w:val="20"/>
        </w:rPr>
        <w:t xml:space="preserve"> </w:t>
      </w:r>
      <w:r w:rsidRPr="00B30E77">
        <w:rPr>
          <w:rFonts w:ascii="Arial" w:hAnsi="Arial"/>
          <w:sz w:val="20"/>
          <w:szCs w:val="20"/>
        </w:rPr>
        <w:t>the</w:t>
      </w:r>
      <w:r w:rsidR="00532603">
        <w:rPr>
          <w:rFonts w:ascii="Arial" w:hAnsi="Arial"/>
          <w:sz w:val="20"/>
          <w:szCs w:val="20"/>
        </w:rPr>
        <w:t xml:space="preserve"> examiner/assessor</w:t>
      </w:r>
      <w:r w:rsidRPr="00B30E77">
        <w:rPr>
          <w:rFonts w:ascii="Arial" w:hAnsi="Arial"/>
          <w:sz w:val="20"/>
          <w:szCs w:val="20"/>
        </w:rPr>
        <w:t xml:space="preserve"> </w:t>
      </w:r>
      <w:r w:rsidR="00532603">
        <w:rPr>
          <w:rFonts w:ascii="Arial" w:hAnsi="Arial"/>
          <w:sz w:val="20"/>
          <w:szCs w:val="20"/>
        </w:rPr>
        <w:t>is</w:t>
      </w:r>
      <w:r w:rsidR="00532603" w:rsidRPr="00B30E77">
        <w:rPr>
          <w:rFonts w:ascii="Arial" w:hAnsi="Arial"/>
          <w:sz w:val="20"/>
          <w:szCs w:val="20"/>
        </w:rPr>
        <w:t xml:space="preserve"> </w:t>
      </w:r>
      <w:r w:rsidRPr="00B30E77">
        <w:rPr>
          <w:rFonts w:ascii="Arial" w:hAnsi="Arial"/>
          <w:sz w:val="20"/>
          <w:szCs w:val="20"/>
        </w:rPr>
        <w:t>not supervising</w:t>
      </w:r>
      <w:r w:rsidR="00532603">
        <w:rPr>
          <w:rFonts w:ascii="Arial" w:hAnsi="Arial"/>
          <w:sz w:val="20"/>
          <w:szCs w:val="20"/>
        </w:rPr>
        <w:t xml:space="preserve"> or assessing</w:t>
      </w:r>
      <w:r w:rsidRPr="00B30E77">
        <w:rPr>
          <w:rFonts w:ascii="Arial" w:hAnsi="Arial"/>
          <w:sz w:val="20"/>
          <w:szCs w:val="20"/>
        </w:rPr>
        <w:t xml:space="preserve"> candidates who are treating persons as part of the assessment</w:t>
      </w:r>
    </w:p>
    <w:p w:rsidR="003579E7" w:rsidRPr="006C5CF2" w:rsidRDefault="003579E7" w:rsidP="006C5CF2">
      <w:pPr>
        <w:pStyle w:val="Default"/>
        <w:numPr>
          <w:ilvl w:val="0"/>
          <w:numId w:val="35"/>
        </w:numPr>
        <w:spacing w:before="240" w:line="276" w:lineRule="auto"/>
        <w:rPr>
          <w:rFonts w:cs="Times New Roman"/>
          <w:color w:val="auto"/>
          <w:sz w:val="20"/>
          <w:szCs w:val="20"/>
          <w:lang w:eastAsia="en-US"/>
        </w:rPr>
      </w:pPr>
      <w:r w:rsidRPr="006C5CF2">
        <w:rPr>
          <w:rFonts w:cs="Times New Roman"/>
          <w:color w:val="auto"/>
          <w:sz w:val="20"/>
          <w:szCs w:val="20"/>
          <w:lang w:eastAsia="en-US"/>
        </w:rPr>
        <w:lastRenderedPageBreak/>
        <w:t>A tutor or teacher working in:</w:t>
      </w:r>
    </w:p>
    <w:p w:rsidR="003579E7" w:rsidRDefault="003579E7" w:rsidP="003579E7">
      <w:pPr>
        <w:pStyle w:val="Default"/>
        <w:numPr>
          <w:ilvl w:val="1"/>
          <w:numId w:val="40"/>
        </w:numPr>
        <w:spacing w:after="75" w:line="276" w:lineRule="auto"/>
        <w:rPr>
          <w:color w:val="auto"/>
          <w:sz w:val="20"/>
          <w:szCs w:val="20"/>
        </w:rPr>
      </w:pPr>
      <w:r w:rsidRPr="00EA0372">
        <w:rPr>
          <w:color w:val="auto"/>
          <w:sz w:val="20"/>
          <w:szCs w:val="20"/>
        </w:rPr>
        <w:t>s</w:t>
      </w:r>
      <w:r>
        <w:rPr>
          <w:color w:val="auto"/>
          <w:sz w:val="20"/>
          <w:szCs w:val="20"/>
        </w:rPr>
        <w:t>ettings which involve persons to demonstrate examination or consulting technique but not the actual delivery of care</w:t>
      </w:r>
    </w:p>
    <w:p w:rsidR="003579E7" w:rsidRDefault="003579E7" w:rsidP="003579E7">
      <w:pPr>
        <w:pStyle w:val="Default"/>
        <w:numPr>
          <w:ilvl w:val="1"/>
          <w:numId w:val="40"/>
        </w:numPr>
        <w:spacing w:after="75" w:line="276" w:lineRule="auto"/>
        <w:rPr>
          <w:color w:val="auto"/>
          <w:sz w:val="20"/>
          <w:szCs w:val="20"/>
        </w:rPr>
      </w:pPr>
      <w:r>
        <w:rPr>
          <w:color w:val="auto"/>
          <w:sz w:val="20"/>
          <w:szCs w:val="20"/>
        </w:rPr>
        <w:t>s</w:t>
      </w:r>
      <w:r w:rsidRPr="00526AA8">
        <w:rPr>
          <w:color w:val="auto"/>
          <w:sz w:val="20"/>
          <w:szCs w:val="20"/>
        </w:rPr>
        <w:t>ettings which involve simulat</w:t>
      </w:r>
      <w:r>
        <w:rPr>
          <w:color w:val="auto"/>
          <w:sz w:val="20"/>
          <w:szCs w:val="20"/>
        </w:rPr>
        <w:t>ed persons</w:t>
      </w:r>
      <w:r w:rsidRPr="00526AA8">
        <w:rPr>
          <w:color w:val="auto"/>
          <w:sz w:val="20"/>
          <w:szCs w:val="20"/>
        </w:rPr>
        <w:t xml:space="preserve"> </w:t>
      </w:r>
    </w:p>
    <w:p w:rsidR="003579E7" w:rsidRPr="00526AA8" w:rsidRDefault="003579E7" w:rsidP="003579E7">
      <w:pPr>
        <w:pStyle w:val="Default"/>
        <w:numPr>
          <w:ilvl w:val="1"/>
          <w:numId w:val="40"/>
        </w:numPr>
        <w:spacing w:after="75" w:line="276" w:lineRule="auto"/>
        <w:rPr>
          <w:color w:val="auto"/>
          <w:sz w:val="20"/>
          <w:szCs w:val="20"/>
        </w:rPr>
      </w:pPr>
      <w:r>
        <w:rPr>
          <w:color w:val="auto"/>
          <w:sz w:val="20"/>
          <w:szCs w:val="20"/>
        </w:rPr>
        <w:t>s</w:t>
      </w:r>
      <w:r w:rsidRPr="00526AA8">
        <w:rPr>
          <w:color w:val="auto"/>
          <w:sz w:val="20"/>
          <w:szCs w:val="20"/>
        </w:rPr>
        <w:t>ettings in which there are no p</w:t>
      </w:r>
      <w:r>
        <w:rPr>
          <w:color w:val="auto"/>
          <w:sz w:val="20"/>
          <w:szCs w:val="20"/>
        </w:rPr>
        <w:t>ersons</w:t>
      </w:r>
      <w:r w:rsidRPr="00526AA8">
        <w:rPr>
          <w:color w:val="auto"/>
          <w:sz w:val="20"/>
          <w:szCs w:val="20"/>
        </w:rPr>
        <w:t xml:space="preserve"> </w:t>
      </w:r>
    </w:p>
    <w:p w:rsidR="003579E7" w:rsidRPr="00B30E77" w:rsidRDefault="003579E7" w:rsidP="003579E7">
      <w:pPr>
        <w:pStyle w:val="Default"/>
        <w:numPr>
          <w:ilvl w:val="0"/>
          <w:numId w:val="35"/>
        </w:numPr>
        <w:spacing w:before="240" w:line="276" w:lineRule="auto"/>
        <w:rPr>
          <w:rFonts w:cs="Times New Roman"/>
          <w:color w:val="auto"/>
          <w:sz w:val="20"/>
          <w:szCs w:val="20"/>
          <w:lang w:eastAsia="en-US"/>
        </w:rPr>
      </w:pPr>
      <w:r w:rsidRPr="00B30E77">
        <w:rPr>
          <w:rFonts w:cs="Times New Roman"/>
          <w:color w:val="auto"/>
          <w:sz w:val="20"/>
          <w:szCs w:val="20"/>
          <w:lang w:eastAsia="en-US"/>
        </w:rPr>
        <w:t>A researcher whose work does not include any human subjects and whose research facility does not require them to be registered</w:t>
      </w:r>
    </w:p>
    <w:p w:rsidR="003579E7" w:rsidRPr="00B30E77" w:rsidRDefault="003579E7" w:rsidP="003579E7">
      <w:pPr>
        <w:pStyle w:val="Default"/>
        <w:numPr>
          <w:ilvl w:val="0"/>
          <w:numId w:val="35"/>
        </w:numPr>
        <w:spacing w:before="240" w:line="276" w:lineRule="auto"/>
        <w:rPr>
          <w:rFonts w:cs="Times New Roman"/>
          <w:color w:val="auto"/>
          <w:sz w:val="20"/>
          <w:szCs w:val="20"/>
          <w:lang w:eastAsia="en-US"/>
        </w:rPr>
      </w:pPr>
      <w:r w:rsidRPr="00B30E77">
        <w:rPr>
          <w:rFonts w:cs="Times New Roman"/>
          <w:color w:val="auto"/>
          <w:sz w:val="20"/>
          <w:szCs w:val="20"/>
          <w:lang w:eastAsia="en-US"/>
        </w:rPr>
        <w:t xml:space="preserve">A practitioner who has been invited to talk publicly about a health or </w:t>
      </w:r>
      <w:r w:rsidR="00B13CA5">
        <w:rPr>
          <w:rFonts w:cs="Times New Roman"/>
          <w:color w:val="auto"/>
          <w:sz w:val="20"/>
          <w:szCs w:val="20"/>
          <w:lang w:eastAsia="en-US"/>
        </w:rPr>
        <w:t>podiatry</w:t>
      </w:r>
      <w:r w:rsidR="009D27CE">
        <w:rPr>
          <w:rFonts w:cs="Times New Roman"/>
          <w:color w:val="auto"/>
          <w:sz w:val="20"/>
          <w:szCs w:val="20"/>
          <w:lang w:eastAsia="en-US"/>
        </w:rPr>
        <w:t xml:space="preserve"> </w:t>
      </w:r>
      <w:r w:rsidRPr="00B30E77">
        <w:rPr>
          <w:rFonts w:cs="Times New Roman"/>
          <w:color w:val="auto"/>
          <w:sz w:val="20"/>
          <w:szCs w:val="20"/>
          <w:lang w:eastAsia="en-US"/>
        </w:rPr>
        <w:t xml:space="preserve">related topic and who will not be giving any specific advice </w:t>
      </w:r>
    </w:p>
    <w:p w:rsidR="003579E7" w:rsidRPr="00B30E77" w:rsidRDefault="003579E7" w:rsidP="003579E7">
      <w:pPr>
        <w:pStyle w:val="Default"/>
        <w:numPr>
          <w:ilvl w:val="0"/>
          <w:numId w:val="35"/>
        </w:numPr>
        <w:spacing w:before="240" w:line="276" w:lineRule="auto"/>
        <w:rPr>
          <w:rFonts w:cs="Times New Roman"/>
          <w:color w:val="auto"/>
          <w:sz w:val="20"/>
          <w:szCs w:val="20"/>
          <w:lang w:eastAsia="en-US"/>
        </w:rPr>
      </w:pPr>
      <w:r w:rsidRPr="00B30E77">
        <w:rPr>
          <w:rFonts w:cs="Times New Roman"/>
          <w:color w:val="auto"/>
          <w:sz w:val="20"/>
          <w:szCs w:val="20"/>
          <w:lang w:eastAsia="en-US"/>
        </w:rPr>
        <w:t>A practitioner serving on a Board</w:t>
      </w:r>
      <w:r w:rsidR="006C5CF2">
        <w:rPr>
          <w:rFonts w:cs="Times New Roman"/>
          <w:color w:val="auto"/>
          <w:sz w:val="20"/>
          <w:szCs w:val="20"/>
          <w:lang w:eastAsia="en-US"/>
        </w:rPr>
        <w:t>, committee or accreditation body</w:t>
      </w:r>
      <w:r w:rsidRPr="00B30E77">
        <w:rPr>
          <w:rFonts w:cs="Times New Roman"/>
          <w:color w:val="auto"/>
          <w:sz w:val="20"/>
          <w:szCs w:val="20"/>
          <w:lang w:eastAsia="en-US"/>
        </w:rPr>
        <w:t>, whe</w:t>
      </w:r>
      <w:r>
        <w:rPr>
          <w:rFonts w:cs="Times New Roman"/>
          <w:color w:val="auto"/>
          <w:sz w:val="20"/>
          <w:szCs w:val="20"/>
          <w:lang w:eastAsia="en-US"/>
        </w:rPr>
        <w:t>n</w:t>
      </w:r>
      <w:r w:rsidRPr="00B30E77">
        <w:rPr>
          <w:rFonts w:cs="Times New Roman"/>
          <w:color w:val="auto"/>
          <w:sz w:val="20"/>
          <w:szCs w:val="20"/>
          <w:lang w:eastAsia="en-US"/>
        </w:rPr>
        <w:t xml:space="preserve"> their appointment is not </w:t>
      </w:r>
      <w:r w:rsidR="006C5CF2">
        <w:rPr>
          <w:rFonts w:cs="Times New Roman"/>
          <w:color w:val="auto"/>
          <w:sz w:val="20"/>
          <w:szCs w:val="20"/>
          <w:lang w:eastAsia="en-US"/>
        </w:rPr>
        <w:t>dependent on</w:t>
      </w:r>
      <w:r w:rsidRPr="00B30E77">
        <w:rPr>
          <w:rFonts w:cs="Times New Roman"/>
          <w:color w:val="auto"/>
          <w:sz w:val="20"/>
          <w:szCs w:val="20"/>
          <w:lang w:eastAsia="en-US"/>
        </w:rPr>
        <w:t xml:space="preserve"> their statu</w:t>
      </w:r>
      <w:r w:rsidR="009D27CE">
        <w:rPr>
          <w:rFonts w:cs="Times New Roman"/>
          <w:color w:val="auto"/>
          <w:sz w:val="20"/>
          <w:szCs w:val="20"/>
          <w:lang w:eastAsia="en-US"/>
        </w:rPr>
        <w:t>s as a ‘registered practitioner’</w:t>
      </w:r>
      <w:r w:rsidRPr="00B30E77">
        <w:rPr>
          <w:rFonts w:cs="Times New Roman"/>
          <w:color w:val="auto"/>
          <w:sz w:val="20"/>
          <w:szCs w:val="20"/>
          <w:lang w:eastAsia="en-US"/>
        </w:rPr>
        <w:t xml:space="preserve">  </w:t>
      </w:r>
    </w:p>
    <w:p w:rsidR="003579E7" w:rsidRPr="00B30E77" w:rsidRDefault="003579E7" w:rsidP="003579E7">
      <w:pPr>
        <w:pStyle w:val="Default"/>
        <w:numPr>
          <w:ilvl w:val="0"/>
          <w:numId w:val="35"/>
        </w:numPr>
        <w:spacing w:before="240" w:line="276" w:lineRule="auto"/>
        <w:rPr>
          <w:rFonts w:cs="Times New Roman"/>
          <w:color w:val="auto"/>
          <w:sz w:val="20"/>
          <w:szCs w:val="20"/>
          <w:lang w:eastAsia="en-US"/>
        </w:rPr>
      </w:pPr>
      <w:r w:rsidRPr="00B30E77">
        <w:rPr>
          <w:rFonts w:cs="Times New Roman"/>
          <w:color w:val="auto"/>
          <w:sz w:val="20"/>
          <w:szCs w:val="20"/>
          <w:lang w:eastAsia="en-US"/>
        </w:rPr>
        <w:t>A person providing first aid in an emergency</w:t>
      </w:r>
    </w:p>
    <w:p w:rsidR="003579E7" w:rsidRPr="00B30E77" w:rsidRDefault="003579E7" w:rsidP="003579E7">
      <w:pPr>
        <w:pStyle w:val="Default"/>
        <w:numPr>
          <w:ilvl w:val="0"/>
          <w:numId w:val="35"/>
        </w:numPr>
        <w:spacing w:before="240" w:line="276" w:lineRule="auto"/>
        <w:rPr>
          <w:rFonts w:cs="Times New Roman"/>
          <w:color w:val="auto"/>
          <w:sz w:val="20"/>
          <w:szCs w:val="20"/>
          <w:lang w:eastAsia="en-US"/>
        </w:rPr>
      </w:pPr>
      <w:r w:rsidRPr="00B30E77">
        <w:rPr>
          <w:rFonts w:cs="Times New Roman"/>
          <w:color w:val="auto"/>
          <w:sz w:val="20"/>
          <w:szCs w:val="20"/>
          <w:lang w:eastAsia="en-US"/>
        </w:rPr>
        <w:t>A person who may be using skills and knowledge gained from an approved qualification but is not using a protected title, or claiming or holding themselves out to be registered, such as a person in an advisory or policy role</w:t>
      </w:r>
    </w:p>
    <w:p w:rsidR="003579E7" w:rsidRPr="00B30E77" w:rsidRDefault="003579E7" w:rsidP="003579E7">
      <w:pPr>
        <w:pStyle w:val="Default"/>
        <w:numPr>
          <w:ilvl w:val="0"/>
          <w:numId w:val="35"/>
        </w:numPr>
        <w:spacing w:before="240" w:line="276" w:lineRule="auto"/>
        <w:rPr>
          <w:rFonts w:cs="Times New Roman"/>
          <w:color w:val="auto"/>
          <w:sz w:val="20"/>
          <w:szCs w:val="20"/>
          <w:lang w:eastAsia="en-US"/>
        </w:rPr>
      </w:pPr>
      <w:r w:rsidRPr="00B30E77">
        <w:rPr>
          <w:rFonts w:cs="Times New Roman"/>
          <w:color w:val="auto"/>
          <w:sz w:val="20"/>
          <w:szCs w:val="20"/>
          <w:lang w:eastAsia="en-US"/>
        </w:rPr>
        <w:t>A</w:t>
      </w:r>
      <w:r w:rsidR="006C5CF2">
        <w:rPr>
          <w:rFonts w:cs="Times New Roman"/>
          <w:color w:val="auto"/>
          <w:sz w:val="20"/>
          <w:szCs w:val="20"/>
          <w:lang w:eastAsia="en-US"/>
        </w:rPr>
        <w:t xml:space="preserve"> practitioner who is registered overseas and is visiting for any role not involved in providing treatment or opinion about the health of any individuals, for example a</w:t>
      </w:r>
      <w:r w:rsidRPr="00B30E77">
        <w:rPr>
          <w:rFonts w:cs="Times New Roman"/>
          <w:color w:val="auto"/>
          <w:sz w:val="20"/>
          <w:szCs w:val="20"/>
          <w:lang w:eastAsia="en-US"/>
        </w:rPr>
        <w:t xml:space="preserve"> course presenter from overseas who uses a protected title with words explaining their registration status in Australia eg</w:t>
      </w:r>
      <w:r w:rsidR="009D27CE">
        <w:rPr>
          <w:rFonts w:cs="Times New Roman"/>
          <w:color w:val="auto"/>
          <w:sz w:val="20"/>
          <w:szCs w:val="20"/>
          <w:lang w:eastAsia="en-US"/>
        </w:rPr>
        <w:t>.</w:t>
      </w:r>
      <w:r w:rsidRPr="00B30E77">
        <w:rPr>
          <w:rFonts w:cs="Times New Roman"/>
          <w:color w:val="auto"/>
          <w:sz w:val="20"/>
          <w:szCs w:val="20"/>
          <w:lang w:eastAsia="en-US"/>
        </w:rPr>
        <w:t xml:space="preserve"> </w:t>
      </w:r>
      <w:r w:rsidR="009D27CE">
        <w:rPr>
          <w:rFonts w:cs="Times New Roman"/>
          <w:color w:val="auto"/>
          <w:sz w:val="20"/>
          <w:szCs w:val="20"/>
          <w:lang w:eastAsia="en-US"/>
        </w:rPr>
        <w:t>P</w:t>
      </w:r>
      <w:r w:rsidR="00B13CA5">
        <w:rPr>
          <w:rFonts w:cs="Times New Roman"/>
          <w:color w:val="auto"/>
          <w:sz w:val="20"/>
          <w:szCs w:val="20"/>
          <w:lang w:eastAsia="en-US"/>
        </w:rPr>
        <w:t>odiatrist</w:t>
      </w:r>
      <w:r w:rsidR="009D27CE">
        <w:rPr>
          <w:rFonts w:cs="Times New Roman"/>
          <w:color w:val="auto"/>
          <w:sz w:val="20"/>
          <w:szCs w:val="20"/>
          <w:lang w:eastAsia="en-US"/>
        </w:rPr>
        <w:t xml:space="preserve"> </w:t>
      </w:r>
      <w:r w:rsidRPr="00B30E77">
        <w:rPr>
          <w:rFonts w:cs="Times New Roman"/>
          <w:color w:val="auto"/>
          <w:sz w:val="20"/>
          <w:szCs w:val="20"/>
          <w:lang w:eastAsia="en-US"/>
        </w:rPr>
        <w:t>(registered in the United Kingdom, or not registered in Australia)</w:t>
      </w:r>
    </w:p>
    <w:p w:rsidR="003579E7" w:rsidRDefault="003579E7" w:rsidP="003579E7">
      <w:pPr>
        <w:pStyle w:val="Default"/>
        <w:spacing w:line="276" w:lineRule="auto"/>
        <w:rPr>
          <w:b/>
          <w:bCs/>
          <w:sz w:val="20"/>
          <w:szCs w:val="20"/>
        </w:rPr>
      </w:pPr>
    </w:p>
    <w:p w:rsidR="003579E7" w:rsidRDefault="003579E7" w:rsidP="003579E7">
      <w:pPr>
        <w:pStyle w:val="AHPRAbody"/>
      </w:pPr>
      <w:r w:rsidRPr="00774291">
        <w:rPr>
          <w:rFonts w:ascii="Arial" w:hAnsi="Arial" w:cs="Arial"/>
          <w:color w:val="000000"/>
          <w:szCs w:val="20"/>
          <w:lang w:val="en-AU" w:eastAsia="en-AU"/>
        </w:rPr>
        <w:t xml:space="preserve">If you do not require registration, but wish to continue using a protected title, you may wish to consider non-practising registration. </w:t>
      </w:r>
    </w:p>
    <w:p w:rsidR="003579E7" w:rsidRPr="00774291" w:rsidRDefault="003579E7" w:rsidP="003579E7">
      <w:pPr>
        <w:pStyle w:val="AHPRASubhead"/>
      </w:pPr>
      <w:r w:rsidRPr="00774291">
        <w:t>Further advice</w:t>
      </w:r>
    </w:p>
    <w:p w:rsidR="003579E7" w:rsidRPr="00774291" w:rsidRDefault="003579E7" w:rsidP="003579E7">
      <w:pPr>
        <w:pStyle w:val="AHPRAbody"/>
        <w:rPr>
          <w:rFonts w:ascii="Arial" w:hAnsi="Arial" w:cs="Arial"/>
          <w:color w:val="000000"/>
          <w:szCs w:val="20"/>
          <w:lang w:val="en-AU" w:eastAsia="en-AU"/>
        </w:rPr>
      </w:pPr>
      <w:r w:rsidRPr="00774291">
        <w:rPr>
          <w:rFonts w:ascii="Arial" w:hAnsi="Arial" w:cs="Arial"/>
          <w:color w:val="000000"/>
          <w:szCs w:val="20"/>
          <w:lang w:val="en-AU" w:eastAsia="en-AU"/>
        </w:rPr>
        <w:t>If you require further assistance to help you decide whether or not you need to be registered, consult your employer, professional indemnity insurer or other legal adviser.</w:t>
      </w:r>
    </w:p>
    <w:p w:rsidR="003579E7" w:rsidRDefault="003579E7" w:rsidP="003579E7">
      <w:pPr>
        <w:pStyle w:val="AHPRAbody"/>
      </w:pPr>
    </w:p>
    <w:p w:rsidR="003579E7" w:rsidRPr="0001624D" w:rsidRDefault="003579E7" w:rsidP="003579E7">
      <w:pPr>
        <w:pStyle w:val="AHPRASubhead"/>
        <w:ind w:left="1418" w:hanging="1418"/>
        <w:rPr>
          <w:b w:val="0"/>
          <w:color w:val="auto"/>
          <w:szCs w:val="20"/>
        </w:rPr>
      </w:pPr>
    </w:p>
    <w:sectPr w:rsidR="003579E7" w:rsidRPr="0001624D" w:rsidSect="003579E7">
      <w:headerReference w:type="even" r:id="rId8"/>
      <w:headerReference w:type="default" r:id="rId9"/>
      <w:footerReference w:type="even" r:id="rId10"/>
      <w:footerReference w:type="default" r:id="rId11"/>
      <w:headerReference w:type="first" r:id="rId12"/>
      <w:footerReference w:type="first" r:id="rId13"/>
      <w:pgSz w:w="11900" w:h="16840"/>
      <w:pgMar w:top="3686" w:right="1268" w:bottom="1985" w:left="1134" w:header="283" w:footer="32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D18" w:rsidRDefault="00F20D18" w:rsidP="003579E7">
      <w:pPr>
        <w:spacing w:after="0"/>
      </w:pPr>
      <w:r>
        <w:separator/>
      </w:r>
    </w:p>
  </w:endnote>
  <w:endnote w:type="continuationSeparator" w:id="0">
    <w:p w:rsidR="00F20D18" w:rsidRDefault="00F20D18" w:rsidP="003579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T Lt">
    <w:panose1 w:val="00000000000000000000"/>
    <w:charset w:val="4D"/>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72" w:rsidRDefault="002E5DB6" w:rsidP="003579E7">
    <w:pPr>
      <w:pStyle w:val="Footer"/>
      <w:framePr w:wrap="around" w:vAnchor="text" w:hAnchor="margin" w:xAlign="right" w:y="1"/>
      <w:rPr>
        <w:rStyle w:val="PageNumber"/>
      </w:rPr>
    </w:pPr>
    <w:r>
      <w:rPr>
        <w:rStyle w:val="PageNumber"/>
      </w:rPr>
      <w:fldChar w:fldCharType="begin"/>
    </w:r>
    <w:r w:rsidR="00F64772">
      <w:rPr>
        <w:rStyle w:val="PageNumber"/>
      </w:rPr>
      <w:instrText xml:space="preserve">PAGE  </w:instrText>
    </w:r>
    <w:r>
      <w:rPr>
        <w:rStyle w:val="PageNumber"/>
      </w:rPr>
      <w:fldChar w:fldCharType="end"/>
    </w:r>
  </w:p>
  <w:p w:rsidR="00F64772" w:rsidRDefault="00F64772" w:rsidP="003579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72" w:rsidRPr="005413F7" w:rsidRDefault="002E5DB6" w:rsidP="003579E7">
    <w:pPr>
      <w:pStyle w:val="Footer"/>
      <w:framePr w:wrap="around" w:vAnchor="text" w:hAnchor="margin" w:xAlign="right" w:y="1"/>
      <w:rPr>
        <w:rStyle w:val="PageNumber"/>
      </w:rPr>
    </w:pPr>
    <w:r w:rsidRPr="00A25205">
      <w:rPr>
        <w:rStyle w:val="PageNumber"/>
        <w:rFonts w:ascii="Arial" w:hAnsi="Arial" w:cs="Arial"/>
        <w:sz w:val="20"/>
        <w:szCs w:val="20"/>
      </w:rPr>
      <w:fldChar w:fldCharType="begin"/>
    </w:r>
    <w:r w:rsidR="00B754CE" w:rsidRPr="00A25205">
      <w:rPr>
        <w:rStyle w:val="PageNumber"/>
        <w:rFonts w:ascii="Arial" w:hAnsi="Arial" w:cs="Arial"/>
        <w:sz w:val="20"/>
        <w:szCs w:val="20"/>
      </w:rPr>
      <w:instrText xml:space="preserve">PAGE  </w:instrText>
    </w:r>
    <w:r w:rsidRPr="00A25205">
      <w:rPr>
        <w:rStyle w:val="PageNumber"/>
        <w:rFonts w:ascii="Arial" w:hAnsi="Arial" w:cs="Arial"/>
        <w:sz w:val="20"/>
        <w:szCs w:val="20"/>
      </w:rPr>
      <w:fldChar w:fldCharType="separate"/>
    </w:r>
    <w:r w:rsidR="00B73B0D">
      <w:rPr>
        <w:rStyle w:val="PageNumber"/>
        <w:rFonts w:ascii="Arial" w:hAnsi="Arial" w:cs="Arial"/>
        <w:noProof/>
        <w:sz w:val="20"/>
        <w:szCs w:val="20"/>
      </w:rPr>
      <w:t>2</w:t>
    </w:r>
    <w:r w:rsidRPr="00A25205">
      <w:rPr>
        <w:rStyle w:val="PageNumber"/>
        <w:rFonts w:ascii="Arial" w:hAnsi="Arial" w:cs="Arial"/>
        <w:sz w:val="20"/>
        <w:szCs w:val="20"/>
      </w:rPr>
      <w:fldChar w:fldCharType="end"/>
    </w:r>
  </w:p>
  <w:p w:rsidR="00F64772" w:rsidRPr="00D638E0" w:rsidRDefault="00F64772" w:rsidP="003579E7">
    <w:pPr>
      <w:pStyle w:val="AHPRAbody"/>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rsidR="00F64772" w:rsidRPr="00D638E0" w:rsidRDefault="00F64772" w:rsidP="003579E7">
    <w:pPr>
      <w:pStyle w:val="AHPRAbody"/>
      <w:tabs>
        <w:tab w:val="center" w:pos="4749"/>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72" w:rsidRPr="00AD312E" w:rsidRDefault="00F64772" w:rsidP="003579E7">
    <w:pPr>
      <w:pStyle w:val="AHPRAbody"/>
      <w:spacing w:after="100"/>
      <w:jc w:val="center"/>
      <w:rPr>
        <w:rFonts w:ascii="Arial" w:hAnsi="Arial" w:cs="Arial"/>
        <w:b/>
        <w:color w:val="008EC4"/>
      </w:rPr>
    </w:pPr>
    <w:r w:rsidRPr="00AD312E">
      <w:rPr>
        <w:rFonts w:ascii="Arial" w:hAnsi="Arial" w:cs="Arial"/>
        <w:b/>
        <w:color w:val="424342"/>
      </w:rPr>
      <w:t>Australian</w:t>
    </w:r>
    <w:r w:rsidRPr="00AD312E">
      <w:rPr>
        <w:rFonts w:ascii="Arial" w:hAnsi="Arial" w:cs="Arial"/>
        <w:b/>
        <w:color w:val="008EC4"/>
      </w:rPr>
      <w:t xml:space="preserve"> Health Practitioner </w:t>
    </w:r>
    <w:r w:rsidRPr="00AD312E">
      <w:rPr>
        <w:rFonts w:ascii="Arial" w:hAnsi="Arial" w:cs="Arial"/>
        <w:b/>
        <w:color w:val="424342"/>
      </w:rPr>
      <w:t>Regulation Agency</w:t>
    </w:r>
  </w:p>
  <w:p w:rsidR="00F64772" w:rsidRPr="00AD312E" w:rsidRDefault="00F64772" w:rsidP="003579E7">
    <w:pPr>
      <w:pStyle w:val="AHPRAbody"/>
      <w:tabs>
        <w:tab w:val="center" w:pos="4749"/>
      </w:tabs>
      <w:rPr>
        <w:rFonts w:ascii="Arial" w:hAnsi="Arial" w:cs="Arial"/>
        <w:szCs w:val="20"/>
      </w:rPr>
    </w:pPr>
    <w:r w:rsidRPr="00AD312E">
      <w:rPr>
        <w:rFonts w:ascii="Arial" w:hAnsi="Arial" w:cs="Arial"/>
        <w:szCs w:val="20"/>
      </w:rPr>
      <w:tab/>
      <w:t xml:space="preserve">G.P.O. Box 9958   </w:t>
    </w:r>
    <w:r w:rsidRPr="00AD312E">
      <w:rPr>
        <w:rFonts w:ascii="Arial" w:hAnsi="Arial" w:cs="Arial"/>
        <w:b/>
        <w:color w:val="008EC4"/>
        <w:sz w:val="24"/>
        <w:szCs w:val="28"/>
      </w:rPr>
      <w:t>|</w:t>
    </w:r>
    <w:r w:rsidRPr="00AD312E">
      <w:rPr>
        <w:rFonts w:ascii="Arial" w:hAnsi="Arial" w:cs="Arial"/>
        <w:szCs w:val="20"/>
      </w:rPr>
      <w:t xml:space="preserve">   Melbourne VIC 3001   </w:t>
    </w:r>
    <w:r w:rsidRPr="00AD312E">
      <w:rPr>
        <w:rFonts w:ascii="Arial" w:hAnsi="Arial" w:cs="Arial"/>
        <w:b/>
        <w:color w:val="008EC4"/>
        <w:sz w:val="24"/>
        <w:szCs w:val="28"/>
      </w:rPr>
      <w:t>|</w:t>
    </w:r>
    <w:r w:rsidRPr="00AD312E">
      <w:rPr>
        <w:rFonts w:ascii="Arial" w:hAnsi="Arial" w:cs="Arial"/>
        <w:szCs w:val="20"/>
      </w:rPr>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D18" w:rsidRDefault="00F20D18" w:rsidP="003579E7">
      <w:pPr>
        <w:spacing w:after="0"/>
      </w:pPr>
      <w:r>
        <w:separator/>
      </w:r>
    </w:p>
  </w:footnote>
  <w:footnote w:type="continuationSeparator" w:id="0">
    <w:p w:rsidR="00F20D18" w:rsidRDefault="00F20D18" w:rsidP="003579E7">
      <w:pPr>
        <w:spacing w:after="0"/>
      </w:pPr>
      <w:r>
        <w:continuationSeparator/>
      </w:r>
    </w:p>
  </w:footnote>
  <w:footnote w:id="1">
    <w:p w:rsidR="00F64772" w:rsidRDefault="00F64772" w:rsidP="003579E7">
      <w:pPr>
        <w:autoSpaceDE w:val="0"/>
        <w:autoSpaceDN w:val="0"/>
        <w:adjustRightInd w:val="0"/>
        <w:spacing w:after="0"/>
        <w:rPr>
          <w:rFonts w:ascii="Arial" w:hAnsi="Arial" w:cs="Arial"/>
          <w:sz w:val="18"/>
          <w:szCs w:val="18"/>
          <w:lang w:val="en-AU" w:eastAsia="en-AU"/>
        </w:rPr>
      </w:pPr>
      <w:r w:rsidRPr="0026235B">
        <w:rPr>
          <w:rStyle w:val="FootnoteReference"/>
          <w:rFonts w:ascii="Arial" w:hAnsi="Arial" w:cs="Arial"/>
          <w:sz w:val="18"/>
          <w:szCs w:val="18"/>
        </w:rPr>
        <w:footnoteRef/>
      </w:r>
      <w:r w:rsidRPr="0026235B">
        <w:rPr>
          <w:rFonts w:ascii="Arial" w:hAnsi="Arial" w:cs="Arial"/>
          <w:sz w:val="18"/>
          <w:szCs w:val="18"/>
        </w:rPr>
        <w:t xml:space="preserve"> In this document “the person” has been used to describe a person receiving clinical services.  It includes patients, clients and consumers</w:t>
      </w:r>
    </w:p>
  </w:footnote>
  <w:footnote w:id="2">
    <w:p w:rsidR="00F64772" w:rsidRPr="005413F7" w:rsidRDefault="00F64772" w:rsidP="003579E7">
      <w:pPr>
        <w:pStyle w:val="FootnoteText"/>
        <w:rPr>
          <w:rFonts w:ascii="Arial" w:hAnsi="Arial" w:cs="Arial"/>
          <w:sz w:val="18"/>
          <w:szCs w:val="18"/>
        </w:rPr>
      </w:pPr>
      <w:r w:rsidRPr="005413F7">
        <w:rPr>
          <w:rStyle w:val="FootnoteReference"/>
          <w:rFonts w:ascii="Arial" w:hAnsi="Arial" w:cs="Arial"/>
          <w:sz w:val="18"/>
          <w:szCs w:val="18"/>
        </w:rPr>
        <w:footnoteRef/>
      </w:r>
      <w:r w:rsidRPr="005413F7">
        <w:rPr>
          <w:rFonts w:ascii="Arial" w:hAnsi="Arial" w:cs="Arial"/>
          <w:sz w:val="18"/>
          <w:szCs w:val="18"/>
        </w:rPr>
        <w:t xml:space="preserve"> </w:t>
      </w:r>
      <w:r w:rsidRPr="005413F7">
        <w:rPr>
          <w:rFonts w:ascii="Arial" w:hAnsi="Arial" w:cs="Arial"/>
        </w:rPr>
        <w:t>Part 7, Division 10, Sub-division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72" w:rsidRDefault="00F647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72" w:rsidRPr="00315933" w:rsidRDefault="00F64772" w:rsidP="003579E7">
    <w:pPr>
      <w:pStyle w:val="Header"/>
      <w:ind w:left="-1134" w:right="-56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72" w:rsidRDefault="00F64772" w:rsidP="003579E7">
    <w:pPr>
      <w:pStyle w:val="Header"/>
      <w:ind w:left="-1134"/>
      <w:jc w:val="right"/>
      <w:rPr>
        <w:rFonts w:ascii="Arial" w:hAnsi="Arial" w:cs="Arial"/>
      </w:rPr>
    </w:pPr>
  </w:p>
  <w:p w:rsidR="00F64772" w:rsidRDefault="00F64772" w:rsidP="003579E7">
    <w:pPr>
      <w:pStyle w:val="Header"/>
      <w:ind w:left="-1134"/>
      <w:jc w:val="right"/>
      <w:rPr>
        <w:rFonts w:ascii="Arial" w:hAnsi="Arial" w:cs="Arial"/>
      </w:rPr>
    </w:pPr>
  </w:p>
  <w:p w:rsidR="00F64772" w:rsidRPr="00F64772" w:rsidRDefault="00DC0BCA" w:rsidP="00DC0BCA">
    <w:pPr>
      <w:pStyle w:val="Header"/>
      <w:ind w:left="-1134"/>
      <w:jc w:val="right"/>
      <w:rPr>
        <w:rFonts w:ascii="Arial" w:hAnsi="Arial" w:cs="Arial"/>
      </w:rPr>
    </w:pPr>
    <w:r w:rsidRPr="00DC0BCA">
      <w:rPr>
        <w:rFonts w:ascii="Arial" w:hAnsi="Arial" w:cs="Arial"/>
        <w:noProof/>
      </w:rPr>
      <w:drawing>
        <wp:inline distT="0" distB="0" distL="0" distR="0">
          <wp:extent cx="1831942" cy="1908047"/>
          <wp:effectExtent l="19050" t="0" r="0" b="0"/>
          <wp:docPr id="5" name="Picture 4" descr="AHPRA_Nursing&amp;Midwif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jpg"/>
                  <pic:cNvPicPr/>
                </pic:nvPicPr>
                <pic:blipFill>
                  <a:blip r:embed="rId1"/>
                  <a:stretch>
                    <a:fillRect/>
                  </a:stretch>
                </pic:blipFill>
                <pic:spPr>
                  <a:xfrm>
                    <a:off x="0" y="0"/>
                    <a:ext cx="1831942" cy="190804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83A"/>
    <w:multiLevelType w:val="hybridMultilevel"/>
    <w:tmpl w:val="2ACAD82C"/>
    <w:lvl w:ilvl="0" w:tplc="8FFE9F70">
      <w:start w:val="5"/>
      <w:numFmt w:val="bullet"/>
      <w:lvlText w:val="-"/>
      <w:lvlJc w:val="left"/>
      <w:pPr>
        <w:ind w:left="720" w:hanging="360"/>
      </w:pPr>
      <w:rPr>
        <w:rFonts w:ascii="Arial" w:eastAsia="Cambria" w:hAnsi="Arial" w:cs="Cambria"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5F1706"/>
    <w:multiLevelType w:val="hybridMultilevel"/>
    <w:tmpl w:val="C812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5010E"/>
    <w:multiLevelType w:val="hybridMultilevel"/>
    <w:tmpl w:val="2B34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D90EAF"/>
    <w:multiLevelType w:val="multilevel"/>
    <w:tmpl w:val="5AD4F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
    <w:nsid w:val="0926333F"/>
    <w:multiLevelType w:val="hybridMultilevel"/>
    <w:tmpl w:val="0B2AA766"/>
    <w:lvl w:ilvl="0" w:tplc="8746F5B8">
      <w:start w:val="1"/>
      <w:numFmt w:val="decimal"/>
      <w:lvlText w:val="%1."/>
      <w:lvlJc w:val="left"/>
      <w:pPr>
        <w:ind w:left="360" w:hanging="360"/>
      </w:pPr>
      <w:rPr>
        <w:rFonts w:ascii="Arial" w:hAnsi="Arial" w:hint="default"/>
        <w:b w:val="0"/>
        <w:i w:val="0"/>
        <w:color w:val="1F497D"/>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41AEA"/>
    <w:multiLevelType w:val="hybridMultilevel"/>
    <w:tmpl w:val="8D6E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71A10"/>
    <w:multiLevelType w:val="multilevel"/>
    <w:tmpl w:val="B4CA2EF2"/>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7">
    <w:nsid w:val="1F5A0185"/>
    <w:multiLevelType w:val="hybridMultilevel"/>
    <w:tmpl w:val="14067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371841"/>
    <w:multiLevelType w:val="hybridMultilevel"/>
    <w:tmpl w:val="C63EEDEC"/>
    <w:lvl w:ilvl="0" w:tplc="40FA45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ED0E63"/>
    <w:multiLevelType w:val="multilevel"/>
    <w:tmpl w:val="C63EEDE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3565F91"/>
    <w:multiLevelType w:val="hybridMultilevel"/>
    <w:tmpl w:val="F42E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8A78A2"/>
    <w:multiLevelType w:val="hybridMultilevel"/>
    <w:tmpl w:val="95CA0394"/>
    <w:lvl w:ilvl="0" w:tplc="7F6CEC96">
      <w:start w:val="2"/>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27720"/>
    <w:multiLevelType w:val="hybridMultilevel"/>
    <w:tmpl w:val="8F06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C2CEC"/>
    <w:multiLevelType w:val="hybridMultilevel"/>
    <w:tmpl w:val="2F52D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D533CF"/>
    <w:multiLevelType w:val="hybridMultilevel"/>
    <w:tmpl w:val="B90C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28213F"/>
    <w:multiLevelType w:val="hybridMultilevel"/>
    <w:tmpl w:val="5AD4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F674D"/>
    <w:multiLevelType w:val="hybridMultilevel"/>
    <w:tmpl w:val="9AA6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ED64FC"/>
    <w:multiLevelType w:val="hybridMultilevel"/>
    <w:tmpl w:val="C5725966"/>
    <w:lvl w:ilvl="0" w:tplc="04090005">
      <w:start w:val="1"/>
      <w:numFmt w:val="bullet"/>
      <w:lvlText w:val=""/>
      <w:lvlJc w:val="left"/>
      <w:pPr>
        <w:ind w:left="1778" w:hanging="360"/>
      </w:pPr>
      <w:rPr>
        <w:rFonts w:ascii="Wingdings" w:hAnsi="Wingdings" w:hint="default"/>
      </w:rPr>
    </w:lvl>
    <w:lvl w:ilvl="1" w:tplc="04090003">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nsid w:val="339D5A47"/>
    <w:multiLevelType w:val="hybridMultilevel"/>
    <w:tmpl w:val="4EBA9C82"/>
    <w:lvl w:ilvl="0" w:tplc="30E07B36">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3A9A65BC"/>
    <w:multiLevelType w:val="hybridMultilevel"/>
    <w:tmpl w:val="4EBA9C82"/>
    <w:lvl w:ilvl="0" w:tplc="30E07B3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3B2954E5"/>
    <w:multiLevelType w:val="hybridMultilevel"/>
    <w:tmpl w:val="4E36D1BE"/>
    <w:lvl w:ilvl="0" w:tplc="04E2A806">
      <w:numFmt w:val="bullet"/>
      <w:lvlText w:val="•"/>
      <w:lvlJc w:val="left"/>
      <w:pPr>
        <w:ind w:left="720" w:hanging="720"/>
      </w:pPr>
      <w:rPr>
        <w:rFonts w:ascii="Arial" w:eastAsia="Cambria" w:hAnsi="Arial" w:cs="Cambria"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D6E6992"/>
    <w:multiLevelType w:val="hybridMultilevel"/>
    <w:tmpl w:val="AE78D5FA"/>
    <w:lvl w:ilvl="0" w:tplc="04E2A806">
      <w:numFmt w:val="bullet"/>
      <w:lvlText w:val="•"/>
      <w:lvlJc w:val="left"/>
      <w:pPr>
        <w:ind w:left="1080" w:hanging="720"/>
      </w:pPr>
      <w:rPr>
        <w:rFonts w:ascii="Arial" w:eastAsia="Cambria" w:hAnsi="Arial" w:cs="Cambria"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8865D5"/>
    <w:multiLevelType w:val="hybridMultilevel"/>
    <w:tmpl w:val="C2D60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422DCE"/>
    <w:multiLevelType w:val="hybridMultilevel"/>
    <w:tmpl w:val="1A161C9E"/>
    <w:lvl w:ilvl="0" w:tplc="04E2A806">
      <w:numFmt w:val="bullet"/>
      <w:lvlText w:val="•"/>
      <w:lvlJc w:val="left"/>
      <w:pPr>
        <w:ind w:left="1080" w:hanging="720"/>
      </w:pPr>
      <w:rPr>
        <w:rFonts w:ascii="Arial" w:eastAsia="Cambria" w:hAnsi="Arial" w:cs="Cambria"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037E09"/>
    <w:multiLevelType w:val="hybridMultilevel"/>
    <w:tmpl w:val="D01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84A0A"/>
    <w:multiLevelType w:val="hybridMultilevel"/>
    <w:tmpl w:val="59F0A308"/>
    <w:lvl w:ilvl="0" w:tplc="04E2A806">
      <w:numFmt w:val="bullet"/>
      <w:lvlText w:val="•"/>
      <w:lvlJc w:val="left"/>
      <w:pPr>
        <w:ind w:left="1080" w:hanging="720"/>
      </w:pPr>
      <w:rPr>
        <w:rFonts w:ascii="Arial" w:eastAsia="Cambria" w:hAnsi="Arial" w:cs="Cambria"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nsid w:val="58A86602"/>
    <w:multiLevelType w:val="hybridMultilevel"/>
    <w:tmpl w:val="395CF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A20048"/>
    <w:multiLevelType w:val="multilevel"/>
    <w:tmpl w:val="29006632"/>
    <w:lvl w:ilvl="0">
      <w:start w:val="1"/>
      <w:numFmt w:val="decimal"/>
      <w:lvlText w:val="%1."/>
      <w:lvlJc w:val="left"/>
      <w:pPr>
        <w:ind w:left="360" w:hanging="360"/>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29">
    <w:nsid w:val="61A96DE3"/>
    <w:multiLevelType w:val="hybridMultilevel"/>
    <w:tmpl w:val="5A84D192"/>
    <w:lvl w:ilvl="0" w:tplc="F15624CE">
      <w:start w:val="5"/>
      <w:numFmt w:val="bullet"/>
      <w:lvlText w:val="-"/>
      <w:lvlJc w:val="left"/>
      <w:pPr>
        <w:ind w:left="720" w:hanging="360"/>
      </w:pPr>
      <w:rPr>
        <w:rFonts w:ascii="Arial" w:eastAsia="Cambria" w:hAnsi="Arial" w:cs="Cambria"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1">
    <w:nsid w:val="6C803933"/>
    <w:multiLevelType w:val="hybridMultilevel"/>
    <w:tmpl w:val="44806AF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DCE5636"/>
    <w:multiLevelType w:val="hybridMultilevel"/>
    <w:tmpl w:val="33165EFA"/>
    <w:lvl w:ilvl="0" w:tplc="CD06DF5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FBE0BA4"/>
    <w:multiLevelType w:val="hybridMultilevel"/>
    <w:tmpl w:val="80D87338"/>
    <w:lvl w:ilvl="0" w:tplc="F84C312A">
      <w:start w:val="1"/>
      <w:numFmt w:val="decimal"/>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4">
    <w:nsid w:val="731F2B5A"/>
    <w:multiLevelType w:val="multilevel"/>
    <w:tmpl w:val="A2C27982"/>
    <w:lvl w:ilvl="0">
      <w:start w:val="1"/>
      <w:numFmt w:val="decimal"/>
      <w:lvlText w:val="%1."/>
      <w:lvlJc w:val="left"/>
      <w:pPr>
        <w:tabs>
          <w:tab w:val="num" w:pos="284"/>
        </w:tabs>
        <w:ind w:left="284" w:hanging="284"/>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35">
    <w:nsid w:val="76D470F6"/>
    <w:multiLevelType w:val="multilevel"/>
    <w:tmpl w:val="29006632"/>
    <w:lvl w:ilvl="0">
      <w:start w:val="1"/>
      <w:numFmt w:val="decimal"/>
      <w:lvlText w:val="%1."/>
      <w:lvlJc w:val="left"/>
      <w:pPr>
        <w:ind w:left="360" w:hanging="360"/>
      </w:pPr>
      <w:rPr>
        <w:rFonts w:hint="default"/>
      </w:rPr>
    </w:lvl>
    <w:lvl w:ilvl="1">
      <w:start w:val="1"/>
      <w:numFmt w:val="bullet"/>
      <w:lvlText w:val="o"/>
      <w:lvlJc w:val="left"/>
      <w:pPr>
        <w:ind w:left="2008" w:hanging="360"/>
      </w:pPr>
      <w:rPr>
        <w:rFonts w:ascii="Courier" w:hAnsi="Courier" w:hint="default"/>
      </w:rPr>
    </w:lvl>
    <w:lvl w:ilvl="2">
      <w:start w:val="1"/>
      <w:numFmt w:val="bullet"/>
      <w:lvlText w:val=""/>
      <w:lvlJc w:val="left"/>
      <w:pPr>
        <w:ind w:left="2728" w:hanging="360"/>
      </w:pPr>
      <w:rPr>
        <w:rFonts w:ascii="Symbol" w:hAnsi="Symbol"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w:hAnsi="Courier" w:hint="default"/>
      </w:rPr>
    </w:lvl>
    <w:lvl w:ilvl="5">
      <w:start w:val="1"/>
      <w:numFmt w:val="bullet"/>
      <w:lvlText w:val=""/>
      <w:lvlJc w:val="left"/>
      <w:pPr>
        <w:ind w:left="4888" w:hanging="360"/>
      </w:pPr>
      <w:rPr>
        <w:rFonts w:ascii="Symbol" w:hAnsi="Symbol"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w:hAnsi="Courier" w:hint="default"/>
      </w:rPr>
    </w:lvl>
    <w:lvl w:ilvl="8">
      <w:start w:val="1"/>
      <w:numFmt w:val="bullet"/>
      <w:lvlText w:val=""/>
      <w:lvlJc w:val="left"/>
      <w:pPr>
        <w:ind w:left="7048" w:hanging="360"/>
      </w:pPr>
      <w:rPr>
        <w:rFonts w:ascii="Symbol" w:hAnsi="Symbol" w:hint="default"/>
      </w:rPr>
    </w:lvl>
  </w:abstractNum>
  <w:abstractNum w:abstractNumId="36">
    <w:nsid w:val="76E875EE"/>
    <w:multiLevelType w:val="multilevel"/>
    <w:tmpl w:val="FEE42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7">
    <w:nsid w:val="7AC24985"/>
    <w:multiLevelType w:val="hybridMultilevel"/>
    <w:tmpl w:val="93800FBC"/>
    <w:lvl w:ilvl="0" w:tplc="04090001">
      <w:start w:val="1"/>
      <w:numFmt w:val="bullet"/>
      <w:lvlText w:val=""/>
      <w:lvlJc w:val="left"/>
      <w:pPr>
        <w:ind w:left="720" w:hanging="360"/>
      </w:pPr>
      <w:rPr>
        <w:rFonts w:ascii="Symbol" w:hAnsi="Symbol" w:hint="default"/>
      </w:rPr>
    </w:lvl>
    <w:lvl w:ilvl="1" w:tplc="E154E15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70F53"/>
    <w:multiLevelType w:val="hybridMultilevel"/>
    <w:tmpl w:val="F1DE6664"/>
    <w:lvl w:ilvl="0" w:tplc="CD06DF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EB5510"/>
    <w:multiLevelType w:val="hybridMultilevel"/>
    <w:tmpl w:val="1BD2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9"/>
  </w:num>
  <w:num w:numId="4">
    <w:abstractNumId w:val="18"/>
  </w:num>
  <w:num w:numId="5">
    <w:abstractNumId w:val="33"/>
  </w:num>
  <w:num w:numId="6">
    <w:abstractNumId w:val="6"/>
  </w:num>
  <w:num w:numId="7">
    <w:abstractNumId w:val="26"/>
  </w:num>
  <w:num w:numId="8">
    <w:abstractNumId w:val="36"/>
  </w:num>
  <w:num w:numId="9">
    <w:abstractNumId w:val="35"/>
  </w:num>
  <w:num w:numId="10">
    <w:abstractNumId w:val="28"/>
  </w:num>
  <w:num w:numId="11">
    <w:abstractNumId w:val="34"/>
  </w:num>
  <w:num w:numId="12">
    <w:abstractNumId w:val="30"/>
  </w:num>
  <w:num w:numId="13">
    <w:abstractNumId w:val="14"/>
  </w:num>
  <w:num w:numId="14">
    <w:abstractNumId w:val="0"/>
  </w:num>
  <w:num w:numId="15">
    <w:abstractNumId w:val="29"/>
  </w:num>
  <w:num w:numId="16">
    <w:abstractNumId w:val="16"/>
  </w:num>
  <w:num w:numId="17">
    <w:abstractNumId w:val="2"/>
  </w:num>
  <w:num w:numId="18">
    <w:abstractNumId w:val="25"/>
  </w:num>
  <w:num w:numId="19">
    <w:abstractNumId w:val="23"/>
  </w:num>
  <w:num w:numId="20">
    <w:abstractNumId w:val="21"/>
  </w:num>
  <w:num w:numId="21">
    <w:abstractNumId w:val="20"/>
  </w:num>
  <w:num w:numId="22">
    <w:abstractNumId w:val="31"/>
  </w:num>
  <w:num w:numId="23">
    <w:abstractNumId w:val="22"/>
  </w:num>
  <w:num w:numId="24">
    <w:abstractNumId w:val="38"/>
  </w:num>
  <w:num w:numId="25">
    <w:abstractNumId w:val="32"/>
  </w:num>
  <w:num w:numId="26">
    <w:abstractNumId w:val="13"/>
  </w:num>
  <w:num w:numId="27">
    <w:abstractNumId w:val="11"/>
  </w:num>
  <w:num w:numId="28">
    <w:abstractNumId w:val="17"/>
  </w:num>
  <w:num w:numId="29">
    <w:abstractNumId w:val="27"/>
  </w:num>
  <w:num w:numId="30">
    <w:abstractNumId w:val="7"/>
  </w:num>
  <w:num w:numId="31">
    <w:abstractNumId w:val="12"/>
  </w:num>
  <w:num w:numId="32">
    <w:abstractNumId w:val="5"/>
  </w:num>
  <w:num w:numId="33">
    <w:abstractNumId w:val="1"/>
  </w:num>
  <w:num w:numId="34">
    <w:abstractNumId w:val="8"/>
  </w:num>
  <w:num w:numId="35">
    <w:abstractNumId w:val="15"/>
  </w:num>
  <w:num w:numId="36">
    <w:abstractNumId w:val="4"/>
  </w:num>
  <w:num w:numId="37">
    <w:abstractNumId w:val="9"/>
  </w:num>
  <w:num w:numId="38">
    <w:abstractNumId w:val="10"/>
  </w:num>
  <w:num w:numId="39">
    <w:abstractNumId w:val="3"/>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rsids>
    <w:rsidRoot w:val="00860F40"/>
    <w:rsid w:val="00010097"/>
    <w:rsid w:val="00100047"/>
    <w:rsid w:val="001860EB"/>
    <w:rsid w:val="001877D6"/>
    <w:rsid w:val="001A40E3"/>
    <w:rsid w:val="00221CC3"/>
    <w:rsid w:val="00224613"/>
    <w:rsid w:val="002B5B88"/>
    <w:rsid w:val="002E5DB6"/>
    <w:rsid w:val="00337353"/>
    <w:rsid w:val="003579E7"/>
    <w:rsid w:val="00362CB9"/>
    <w:rsid w:val="004068E3"/>
    <w:rsid w:val="00417B50"/>
    <w:rsid w:val="00427F5C"/>
    <w:rsid w:val="00450917"/>
    <w:rsid w:val="004C3C13"/>
    <w:rsid w:val="004D2E48"/>
    <w:rsid w:val="0050053E"/>
    <w:rsid w:val="00532603"/>
    <w:rsid w:val="005413F7"/>
    <w:rsid w:val="00606B27"/>
    <w:rsid w:val="00626214"/>
    <w:rsid w:val="006C0AD1"/>
    <w:rsid w:val="006C5CF2"/>
    <w:rsid w:val="00751AEF"/>
    <w:rsid w:val="007C66AC"/>
    <w:rsid w:val="007D3F2D"/>
    <w:rsid w:val="007E369D"/>
    <w:rsid w:val="00860F40"/>
    <w:rsid w:val="00884231"/>
    <w:rsid w:val="008C7DE9"/>
    <w:rsid w:val="0099138B"/>
    <w:rsid w:val="009B76D4"/>
    <w:rsid w:val="009D27CE"/>
    <w:rsid w:val="00A17C20"/>
    <w:rsid w:val="00A24F34"/>
    <w:rsid w:val="00A25205"/>
    <w:rsid w:val="00A328F5"/>
    <w:rsid w:val="00A7683D"/>
    <w:rsid w:val="00B13CA5"/>
    <w:rsid w:val="00B35015"/>
    <w:rsid w:val="00B41857"/>
    <w:rsid w:val="00B73B0D"/>
    <w:rsid w:val="00B754CE"/>
    <w:rsid w:val="00D62716"/>
    <w:rsid w:val="00D9703F"/>
    <w:rsid w:val="00DC0BCA"/>
    <w:rsid w:val="00DF68D6"/>
    <w:rsid w:val="00E80E75"/>
    <w:rsid w:val="00E87725"/>
    <w:rsid w:val="00E91A80"/>
    <w:rsid w:val="00EA0372"/>
    <w:rsid w:val="00ED514F"/>
    <w:rsid w:val="00EF43B5"/>
    <w:rsid w:val="00F20D18"/>
    <w:rsid w:val="00F22348"/>
    <w:rsid w:val="00F64772"/>
    <w:rsid w:val="00FA1168"/>
    <w:rsid w:val="00FF323F"/>
    <w:rsid w:val="00FF464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6AE"/>
    <w:pPr>
      <w:spacing w:after="200"/>
    </w:pPr>
    <w:rPr>
      <w:sz w:val="24"/>
      <w:szCs w:val="24"/>
      <w:lang w:val="en-US" w:eastAsia="en-US"/>
    </w:rPr>
  </w:style>
  <w:style w:type="paragraph" w:styleId="Heading2">
    <w:name w:val="heading 2"/>
    <w:basedOn w:val="Normal"/>
    <w:next w:val="Normal"/>
    <w:link w:val="Heading2Char"/>
    <w:qFormat/>
    <w:rsid w:val="00543A29"/>
    <w:pPr>
      <w:keepNext/>
      <w:keepLines/>
      <w:spacing w:before="200" w:after="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
    <w:name w:val="AHPRA body"/>
    <w:basedOn w:val="Normal"/>
    <w:qFormat/>
    <w:rsid w:val="00607E4B"/>
    <w:rPr>
      <w:rFonts w:ascii="Arial MT Lt" w:hAnsi="Arial MT Lt"/>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basedOn w:val="DefaultParagraphFont"/>
    <w:rsid w:val="00AC00E2"/>
    <w:rPr>
      <w:color w:val="0000FF"/>
      <w:u w:val="single"/>
    </w:rPr>
  </w:style>
  <w:style w:type="paragraph" w:styleId="BalloonText">
    <w:name w:val="Balloon Text"/>
    <w:basedOn w:val="Normal"/>
    <w:link w:val="BalloonTextChar"/>
    <w:rsid w:val="00B77EEC"/>
    <w:pPr>
      <w:spacing w:after="0"/>
    </w:pPr>
    <w:rPr>
      <w:rFonts w:ascii="Tahoma" w:hAnsi="Tahoma" w:cs="Tahoma"/>
      <w:sz w:val="16"/>
      <w:szCs w:val="16"/>
    </w:rPr>
  </w:style>
  <w:style w:type="character" w:customStyle="1" w:styleId="BalloonTextChar">
    <w:name w:val="Balloon Text Char"/>
    <w:basedOn w:val="DefaultParagraphFont"/>
    <w:link w:val="BalloonText"/>
    <w:rsid w:val="00B77EEC"/>
    <w:rPr>
      <w:rFonts w:ascii="Tahoma" w:hAnsi="Tahoma" w:cs="Tahoma"/>
      <w:sz w:val="16"/>
      <w:szCs w:val="16"/>
    </w:rPr>
  </w:style>
  <w:style w:type="character" w:styleId="CommentReference">
    <w:name w:val="annotation reference"/>
    <w:basedOn w:val="DefaultParagraphFont"/>
    <w:rsid w:val="00B77EEC"/>
    <w:rPr>
      <w:sz w:val="16"/>
      <w:szCs w:val="16"/>
    </w:rPr>
  </w:style>
  <w:style w:type="paragraph" w:styleId="CommentText">
    <w:name w:val="annotation text"/>
    <w:basedOn w:val="Normal"/>
    <w:link w:val="CommentTextChar"/>
    <w:rsid w:val="00B77EEC"/>
    <w:rPr>
      <w:sz w:val="20"/>
      <w:szCs w:val="20"/>
    </w:rPr>
  </w:style>
  <w:style w:type="character" w:customStyle="1" w:styleId="CommentTextChar">
    <w:name w:val="Comment Text Char"/>
    <w:basedOn w:val="DefaultParagraphFont"/>
    <w:link w:val="CommentText"/>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basedOn w:val="CommentText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7"/>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12"/>
      </w:numPr>
    </w:pPr>
  </w:style>
  <w:style w:type="paragraph" w:customStyle="1" w:styleId="ColorfulList-Accent11">
    <w:name w:val="Colorful List - Accent 11"/>
    <w:basedOn w:val="Normal"/>
    <w:qFormat/>
    <w:rsid w:val="00DC2952"/>
    <w:pPr>
      <w:ind w:left="720"/>
      <w:contextualSpacing/>
    </w:pPr>
    <w:rPr>
      <w:lang w:val="en-AU"/>
    </w:r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43A29"/>
    <w:rPr>
      <w:rFonts w:ascii="Calibri" w:eastAsia="Times New Roman" w:hAnsi="Calibri"/>
      <w:b/>
      <w:bCs/>
      <w:color w:val="4F81BD"/>
      <w:sz w:val="26"/>
      <w:szCs w:val="26"/>
      <w:lang w:val="en-US"/>
    </w:rPr>
  </w:style>
  <w:style w:type="paragraph" w:customStyle="1" w:styleId="Default">
    <w:name w:val="Default"/>
    <w:rsid w:val="00543A2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543A29"/>
    <w:rPr>
      <w:sz w:val="20"/>
      <w:szCs w:val="20"/>
    </w:rPr>
  </w:style>
  <w:style w:type="character" w:customStyle="1" w:styleId="FootnoteTextChar">
    <w:name w:val="Footnote Text Char"/>
    <w:basedOn w:val="DefaultParagraphFont"/>
    <w:link w:val="FootnoteText"/>
    <w:rsid w:val="00543A29"/>
    <w:rPr>
      <w:lang w:val="en-US"/>
    </w:rPr>
  </w:style>
  <w:style w:type="character" w:styleId="FootnoteReference">
    <w:name w:val="footnote reference"/>
    <w:basedOn w:val="DefaultParagraphFont"/>
    <w:rsid w:val="00543A29"/>
    <w:rPr>
      <w:vertAlign w:val="superscript"/>
    </w:rPr>
  </w:style>
  <w:style w:type="paragraph" w:styleId="ListParagraph">
    <w:name w:val="List Paragraph"/>
    <w:basedOn w:val="Normal"/>
    <w:qFormat/>
    <w:rsid w:val="009D2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6AE"/>
    <w:pPr>
      <w:spacing w:after="200"/>
    </w:pPr>
    <w:rPr>
      <w:sz w:val="24"/>
      <w:szCs w:val="24"/>
      <w:lang w:val="en-US" w:eastAsia="en-US"/>
    </w:rPr>
  </w:style>
  <w:style w:type="paragraph" w:styleId="Heading2">
    <w:name w:val="heading 2"/>
    <w:basedOn w:val="Normal"/>
    <w:next w:val="Normal"/>
    <w:link w:val="Heading2Char"/>
    <w:qFormat/>
    <w:rsid w:val="00543A29"/>
    <w:pPr>
      <w:keepNext/>
      <w:keepLines/>
      <w:spacing w:before="200" w:after="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
    <w:name w:val="AHPRA body"/>
    <w:basedOn w:val="Normal"/>
    <w:qFormat/>
    <w:rsid w:val="00607E4B"/>
    <w:rPr>
      <w:rFonts w:ascii="Arial MT Lt" w:hAnsi="Arial MT Lt"/>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basedOn w:val="DefaultParagraphFont"/>
    <w:rsid w:val="00AC00E2"/>
    <w:rPr>
      <w:color w:val="0000FF"/>
      <w:u w:val="single"/>
    </w:rPr>
  </w:style>
  <w:style w:type="paragraph" w:styleId="BalloonText">
    <w:name w:val="Balloon Text"/>
    <w:basedOn w:val="Normal"/>
    <w:link w:val="BalloonTextChar"/>
    <w:rsid w:val="00B77EEC"/>
    <w:pPr>
      <w:spacing w:after="0"/>
    </w:pPr>
    <w:rPr>
      <w:rFonts w:ascii="Tahoma" w:hAnsi="Tahoma" w:cs="Tahoma"/>
      <w:sz w:val="16"/>
      <w:szCs w:val="16"/>
    </w:rPr>
  </w:style>
  <w:style w:type="character" w:customStyle="1" w:styleId="BalloonTextChar">
    <w:name w:val="Balloon Text Char"/>
    <w:basedOn w:val="DefaultParagraphFont"/>
    <w:link w:val="BalloonText"/>
    <w:rsid w:val="00B77EEC"/>
    <w:rPr>
      <w:rFonts w:ascii="Tahoma" w:hAnsi="Tahoma" w:cs="Tahoma"/>
      <w:sz w:val="16"/>
      <w:szCs w:val="16"/>
    </w:rPr>
  </w:style>
  <w:style w:type="character" w:styleId="CommentReference">
    <w:name w:val="annotation reference"/>
    <w:basedOn w:val="DefaultParagraphFont"/>
    <w:rsid w:val="00B77EEC"/>
    <w:rPr>
      <w:sz w:val="16"/>
      <w:szCs w:val="16"/>
    </w:rPr>
  </w:style>
  <w:style w:type="paragraph" w:styleId="CommentText">
    <w:name w:val="annotation text"/>
    <w:basedOn w:val="Normal"/>
    <w:link w:val="CommentTextChar"/>
    <w:rsid w:val="00B77EEC"/>
    <w:rPr>
      <w:sz w:val="20"/>
      <w:szCs w:val="20"/>
    </w:rPr>
  </w:style>
  <w:style w:type="character" w:customStyle="1" w:styleId="CommentTextChar">
    <w:name w:val="Comment Text Char"/>
    <w:basedOn w:val="DefaultParagraphFont"/>
    <w:link w:val="CommentText"/>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basedOn w:val="CommentText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7"/>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12"/>
      </w:numPr>
    </w:pPr>
  </w:style>
  <w:style w:type="paragraph" w:customStyle="1" w:styleId="ColorfulList-Accent11">
    <w:name w:val="Colorful List - Accent 11"/>
    <w:basedOn w:val="Normal"/>
    <w:qFormat/>
    <w:rsid w:val="00DC2952"/>
    <w:pPr>
      <w:ind w:left="720"/>
      <w:contextualSpacing/>
    </w:pPr>
    <w:rPr>
      <w:lang w:val="en-AU"/>
    </w:r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43A29"/>
    <w:rPr>
      <w:rFonts w:ascii="Calibri" w:eastAsia="Times New Roman" w:hAnsi="Calibri"/>
      <w:b/>
      <w:bCs/>
      <w:color w:val="4F81BD"/>
      <w:sz w:val="26"/>
      <w:szCs w:val="26"/>
      <w:lang w:val="en-US"/>
    </w:rPr>
  </w:style>
  <w:style w:type="paragraph" w:customStyle="1" w:styleId="Default">
    <w:name w:val="Default"/>
    <w:rsid w:val="00543A2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543A29"/>
    <w:rPr>
      <w:sz w:val="20"/>
      <w:szCs w:val="20"/>
    </w:rPr>
  </w:style>
  <w:style w:type="character" w:customStyle="1" w:styleId="FootnoteTextChar">
    <w:name w:val="Footnote Text Char"/>
    <w:basedOn w:val="DefaultParagraphFont"/>
    <w:link w:val="FootnoteText"/>
    <w:rsid w:val="00543A29"/>
    <w:rPr>
      <w:lang w:val="en-US"/>
    </w:rPr>
  </w:style>
  <w:style w:type="character" w:styleId="FootnoteReference">
    <w:name w:val="footnote reference"/>
    <w:basedOn w:val="DefaultParagraphFont"/>
    <w:rsid w:val="00543A29"/>
    <w:rPr>
      <w:vertAlign w:val="superscript"/>
    </w:rPr>
  </w:style>
</w:styles>
</file>

<file path=word/webSettings.xml><?xml version="1.0" encoding="utf-8"?>
<w:webSettings xmlns:r="http://schemas.openxmlformats.org/officeDocument/2006/relationships" xmlns:w="http://schemas.openxmlformats.org/wordprocessingml/2006/main">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1058E-C106-4106-A354-4711255E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8802</CharactersWithSpaces>
  <SharedDoc>false</SharedDoc>
  <HyperlinkBase/>
  <HLinks>
    <vt:vector size="6" baseType="variant">
      <vt:variant>
        <vt:i4>2490451</vt:i4>
      </vt:variant>
      <vt:variant>
        <vt:i4>12688</vt:i4>
      </vt:variant>
      <vt:variant>
        <vt:i4>1025</vt:i4>
      </vt:variant>
      <vt:variant>
        <vt:i4>1</vt:i4>
      </vt:variant>
      <vt:variant>
        <vt:lpwstr>AHPRA_CombinedBoards_Full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is it necessary to be registered as a podiatry practitioner?</dc:title>
  <dc:subject>Statement</dc:subject>
  <dc:creator>Podiatry Board</dc:creator>
  <cp:keywords>11 May 2012</cp:keywords>
  <cp:lastModifiedBy>Tara Johnson</cp:lastModifiedBy>
  <cp:revision>2</cp:revision>
  <cp:lastPrinted>2010-06-23T03:38:00Z</cp:lastPrinted>
  <dcterms:created xsi:type="dcterms:W3CDTF">2014-05-22T23:21:00Z</dcterms:created>
  <dcterms:modified xsi:type="dcterms:W3CDTF">2014-05-22T23:21:00Z</dcterms:modified>
</cp:coreProperties>
</file>